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line="360" w:lineRule="auto"/>
        <w:ind/>
        <w:jc w:val="center"/>
        <w:rPr/>
      </w:pPr>
      <w:r>
        <w:t xml:space="preserve">FACULDADE SETE LAGOAS</w:t>
      </w:r>
      <w:r>
        <w:t xml:space="preserve">                                                                </w: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4434840</wp:posOffset>
                </wp:positionH>
                <wp:positionV relativeFrom="paragraph">
                  <wp:posOffset>-3810</wp:posOffset>
                </wp:positionV>
                <wp:extent cx="1303020" cy="396875"/>
                <wp:effectExtent l="0" t="0" r="0" b="3175"/>
                <wp:wrapNone/>
                <wp:docPr id="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s.png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1303020" cy="3968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-251662336;o:allowoverlap:true;o:allowincell:true;mso-position-horizontal-relative:text;margin-left:349.20pt;mso-position-horizontal:absolute;mso-position-vertical-relative:text;margin-top:-0.30pt;mso-position-vertical:absolute;width:102.60pt;height:31.25pt;mso-wrap-distance-left:9.00pt;mso-wrap-distance-top:0.00pt;mso-wrap-distance-right:9.00pt;mso-wrap-distance-bottom:0.00pt;z-index:1;" stroked="false">
                <v:imagedata r:id="rId13" o:title=""/>
                <o:lock v:ext="edit" rotation="t"/>
              </v:shape>
            </w:pict>
          </mc:Fallback>
        </mc:AlternateContent>
      </w:r>
      <w:r/>
    </w:p>
    <w:p>
      <w:pPr>
        <w:pBdr/>
        <w:spacing w:line="360" w:lineRule="auto"/>
        <w:ind/>
        <w:jc w:val="center"/>
        <w:rPr>
          <w:vertAlign w:val="superscript"/>
        </w:rPr>
      </w:pPr>
      <w:r>
        <w:t xml:space="preserve">ESPECIALIZAÇÃO EM ENDODONTIA</w:t>
      </w:r>
      <w:r>
        <w:rPr>
          <w:vertAlign w:val="superscript"/>
        </w:rPr>
      </w:r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>
        <w:t xml:space="preserve">Bárbara Marques Fonseca</w:t>
      </w:r>
      <w:r/>
    </w:p>
    <w:p>
      <w:pPr>
        <w:pBdr/>
        <w:spacing/>
        <w:ind/>
        <w:jc w:val="center"/>
        <w:rPr/>
      </w:pPr>
      <w:r>
        <w:t xml:space="preserve">Vitória Valadares Oliveira Lima</w:t>
      </w:r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>
        <w:t xml:space="preserve">AVANÇOS RECENTES NA ENDODONTIA: ABORDAGENS CLÍNICAS E TECNOLÓGICAS NO TRATAMENTO ENDODÔNTICO</w:t>
      </w:r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 w:line="360" w:lineRule="auto"/>
        <w:ind/>
        <w:jc w:val="center"/>
        <w:rPr/>
      </w:pPr>
      <w:r>
        <w:t xml:space="preserve">Sete Lagoas</w:t>
      </w:r>
      <w:r>
        <w:t xml:space="preserve"> - MG</w:t>
      </w:r>
      <w:r/>
    </w:p>
    <w:p>
      <w:pPr>
        <w:pBdr/>
        <w:spacing w:line="360" w:lineRule="auto"/>
        <w:ind/>
        <w:jc w:val="center"/>
        <w:rPr/>
      </w:pPr>
      <w:r>
        <w:t xml:space="preserve">2025</w:t>
      </w:r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>
        <w:t xml:space="preserve">Bárbara Marques Fonseca</w:t>
      </w:r>
      <w:r/>
    </w:p>
    <w:p>
      <w:pPr>
        <w:pBdr/>
        <w:spacing/>
        <w:ind/>
        <w:jc w:val="center"/>
        <w:rPr/>
      </w:pPr>
      <w:r>
        <w:t xml:space="preserve">Vitória Valadares Oliveira Lima</w:t>
      </w:r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>
        <w:t xml:space="preserve">AVANÇOS RECENTES NA ENDODONTIA: ABORDAGENS CLÍNICAS E TECNOLÓGICAS NO TRATAMENTO ENDODÔNTICO</w:t>
      </w:r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0</wp:posOffset>
                </wp:positionV>
                <wp:extent cx="3343275" cy="830580"/>
                <wp:effectExtent l="0" t="0" r="0" b="0"/>
                <wp:wrapNone/>
                <wp:docPr id="2" name="Retângul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3693413" y="3383760"/>
                          <a:ext cx="3305175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jc w:val="both"/>
                              <w:rPr/>
                            </w:pPr>
                            <w:r>
                              <w:rPr>
                                <w:color w:val="000000"/>
                                <w:sz w:val="22"/>
                              </w:rPr>
                              <w:t xml:space="preserve">Trabalho apresentado como conclusão do curso de Especialização em Endodontia, da Faculdade Sete Lagoas (FACSETE), como um dos requisitos para aprovação.</w:t>
                            </w:r>
                            <w:r/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o:spt="1" type="#_x0000_t1" style="position:absolute;z-index:251658240;o:allowoverlap:true;o:allowincell:true;mso-position-horizontal-relative:text;margin-left:192.00pt;mso-position-horizontal:absolute;mso-position-vertical-relative:text;margin-top:0.00pt;mso-position-vertical:absolute;width:263.25pt;height:65.40pt;mso-wrap-distance-left:9.00pt;mso-wrap-distance-top:0.00pt;mso-wrap-distance-right:9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/>
                        <w:ind/>
                        <w:jc w:val="both"/>
                        <w:rPr/>
                      </w:pPr>
                      <w:r>
                        <w:rPr>
                          <w:color w:val="000000"/>
                          <w:sz w:val="22"/>
                        </w:rPr>
                        <w:t xml:space="preserve">Trabalho apresentado como conclusão do curso de Especialização em Endodontia, da Faculdade Sete Lagoas (FACSETE), como um dos requisitos para aprovação.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88900</wp:posOffset>
                </wp:positionV>
                <wp:extent cx="3429000" cy="918210"/>
                <wp:effectExtent l="0" t="0" r="0" b="0"/>
                <wp:wrapNone/>
                <wp:docPr id="3" name="Retângulo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3650550" y="3339945"/>
                          <a:ext cx="3390900" cy="880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line="360" w:lineRule="auto"/>
                              <w:ind/>
                              <w:rPr/>
                            </w:pPr>
                            <w:r>
                              <w:rPr>
                                <w:color w:val="000000"/>
                                <w:sz w:val="22"/>
                              </w:rPr>
                              <w:t xml:space="preserve">Orientador: Prof. Dr. </w:t>
                            </w:r>
                            <w:r>
                              <w:rPr>
                                <w:color w:val="000000"/>
                                <w:sz w:val="22"/>
                              </w:rPr>
                              <w:t xml:space="preserve">Rafael </w:t>
                            </w:r>
                            <w:r>
                              <w:rPr>
                                <w:color w:val="000000"/>
                                <w:sz w:val="22"/>
                              </w:rPr>
                              <w:t xml:space="preserve"> Rodrigues Soares de </w:t>
                            </w:r>
                            <w:r>
                              <w:rPr>
                                <w:color w:val="000000"/>
                                <w:sz w:val="22"/>
                              </w:rPr>
                              <w:t xml:space="preserve">Magalhães</w:t>
                            </w:r>
                            <w:r/>
                          </w:p>
                          <w:p>
                            <w:pPr>
                              <w:pBdr/>
                              <w:spacing w:line="360" w:lineRule="auto"/>
                              <w:ind/>
                              <w:rPr/>
                            </w:pPr>
                            <w:r/>
                            <w:r/>
                          </w:p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o:spt="1" type="#_x0000_t1" style="position:absolute;z-index:251659264;o:allowoverlap:true;o:allowincell:true;mso-position-horizontal-relative:text;margin-left:198.00pt;mso-position-horizontal:absolute;mso-position-vertical-relative:text;margin-top:7.00pt;mso-position-vertical:absolute;width:270.00pt;height:72.30pt;mso-wrap-distance-left:9.00pt;mso-wrap-distance-top:0.00pt;mso-wrap-distance-right:9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line="360" w:lineRule="auto"/>
                        <w:ind/>
                        <w:rPr/>
                      </w:pPr>
                      <w:r>
                        <w:rPr>
                          <w:color w:val="000000"/>
                          <w:sz w:val="22"/>
                        </w:rPr>
                        <w:t xml:space="preserve">Orientador: Prof. Dr. </w:t>
                      </w:r>
                      <w:r>
                        <w:rPr>
                          <w:color w:val="000000"/>
                          <w:sz w:val="22"/>
                        </w:rPr>
                        <w:t xml:space="preserve">Rafael </w:t>
                      </w:r>
                      <w:r>
                        <w:rPr>
                          <w:color w:val="000000"/>
                          <w:sz w:val="22"/>
                        </w:rPr>
                        <w:t xml:space="preserve"> Rodrigues Soares de </w:t>
                      </w:r>
                      <w:r>
                        <w:rPr>
                          <w:color w:val="000000"/>
                          <w:sz w:val="22"/>
                        </w:rPr>
                        <w:t xml:space="preserve">Magalhães</w:t>
                      </w:r>
                      <w:r/>
                    </w:p>
                    <w:p>
                      <w:pPr>
                        <w:pBdr/>
                        <w:spacing w:line="360" w:lineRule="auto"/>
                        <w:ind/>
                        <w:rPr/>
                      </w:pPr>
                      <w:r/>
                      <w:r/>
                    </w:p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bookmarkStart w:id="0" w:name="_GoBack"/>
      <w:r/>
      <w:bookmarkEnd w:id="0"/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/>
        <w:ind/>
        <w:rPr/>
      </w:pPr>
      <w:r/>
      <w:r/>
    </w:p>
    <w:p>
      <w:pPr>
        <w:pBdr/>
        <w:tabs>
          <w:tab w:val="left" w:leader="none" w:pos="3480"/>
        </w:tabs>
        <w:spacing w:line="360" w:lineRule="auto"/>
        <w:ind/>
        <w:jc w:val="center"/>
        <w:rPr/>
      </w:pPr>
      <w:r>
        <w:t xml:space="preserve">Sete Lagoas</w:t>
      </w:r>
      <w:r>
        <w:t xml:space="preserve"> - MG</w:t>
      </w:r>
      <w:r/>
    </w:p>
    <w:p>
      <w:pPr>
        <w:pBdr/>
        <w:spacing w:line="360" w:lineRule="auto"/>
        <w:ind/>
        <w:jc w:val="center"/>
        <w:rPr/>
      </w:pPr>
      <w:r>
        <w:t xml:space="preserve">2025</w:t>
      </w:r>
      <w:r/>
    </w:p>
    <w:p>
      <w:pPr>
        <w:pBdr/>
        <w:spacing/>
        <w:ind/>
        <w:jc w:val="center"/>
        <w:rPr/>
      </w:pPr>
      <w:r>
        <w:br w:type="page" w:clear="all"/>
      </w:r>
      <w:r/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right"/>
        <w:rPr/>
      </w:pPr>
      <w:r>
        <w:t xml:space="preserve">P</w:t>
      </w:r>
      <w:r>
        <w:t xml:space="preserve">ara Levi e Mavie</w:t>
      </w:r>
      <w:r/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 w:line="360" w:lineRule="auto"/>
        <w:ind/>
        <w:jc w:val="center"/>
        <w:rPr>
          <w:b/>
        </w:rPr>
      </w:pPr>
      <w:r>
        <w:rPr>
          <w:b/>
        </w:rPr>
        <w:t xml:space="preserve">AGRADECIMENTOS</w:t>
      </w:r>
      <w:r>
        <w:rPr>
          <w:b/>
        </w:rPr>
      </w:r>
    </w:p>
    <w:p>
      <w:pPr>
        <w:pBdr/>
        <w:spacing/>
        <w:ind/>
        <w:jc w:val="both"/>
        <w:rPr/>
      </w:pPr>
      <w:r/>
      <w:r/>
    </w:p>
    <w:p>
      <w:pPr>
        <w:pBdr/>
        <w:spacing/>
        <w:ind/>
        <w:jc w:val="both"/>
        <w:rPr/>
      </w:pPr>
      <w:r/>
      <w:r/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  <w:t xml:space="preserve">RESUMO</w:t>
      </w:r>
      <w:r>
        <w:rPr>
          <w:b/>
        </w:rPr>
      </w:r>
    </w:p>
    <w:p>
      <w:pPr>
        <w:pBdr/>
        <w:spacing w:line="360" w:lineRule="auto"/>
        <w:ind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A endodontia é uma especialidade da odontologia que lida com o diagnóstico, tratamento e prevenção das doenças do sistema de canais radiculares. Nos últimos anos, a endodontia tem experimentado significativos avanços clínicos e tecnológicos.</w:t>
      </w:r>
      <w:r>
        <w:t xml:space="preserve"> </w:t>
      </w:r>
      <w:r>
        <w:t xml:space="preserve">A evolução da endodontia está intimamente relacionada à compreensão da anatomia e fisiologia do sistema de canais radiculares, bem como ao desenvolvimento de novas técnicas, instr</w:t>
      </w:r>
      <w:r>
        <w:t xml:space="preserve">umentos e materiais. Os avanços clínicos e tecnológicos têm permitido aos cirurgiões-dentistas realizar tratamentos mais precisos, eficientes e minimamente invasivos, melhorando significativamente os resultados clínicos e a qualidade de vida dos pacientes.</w:t>
      </w:r>
      <w:r>
        <w:t xml:space="preserve"> Neste contexto, e</w:t>
      </w:r>
      <w:r>
        <w:t xml:space="preserve">ste trabalho apresenta uma revisão abrangente dos avanços recentes na Endodontia, destacando as principais abordagens clínicas e tecnológicas no tratamento endodôntico.</w:t>
      </w:r>
      <w:r/>
    </w:p>
    <w:p>
      <w:pPr>
        <w:pBdr/>
        <w:spacing w:line="360" w:lineRule="auto"/>
        <w:ind w:firstLine="709"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Palavras-chave</w:t>
      </w:r>
      <w:r>
        <w:t xml:space="preserve">:</w:t>
      </w:r>
      <w:r>
        <w:t xml:space="preserve"> endodontia</w:t>
      </w:r>
      <w:r>
        <w:t xml:space="preserve">, tratamento endodôntico, avanç</w:t>
      </w:r>
      <w:r>
        <w:t xml:space="preserve">os tecnológicos, endodontia contemporânea</w:t>
      </w:r>
      <w:r>
        <w:t xml:space="preserve">, materiais endodônticos, endodontia minimamente invasiva</w:t>
      </w:r>
      <w:r/>
    </w:p>
    <w:p>
      <w:pPr>
        <w:pBdr/>
        <w:spacing w:line="360" w:lineRule="auto"/>
        <w:ind/>
        <w:jc w:val="both"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w:br w:type="page" w:clear="all"/>
      </w:r>
      <w:r/>
    </w:p>
    <w:p>
      <w:pPr>
        <w:pBdr/>
        <w:spacing/>
        <w:ind/>
        <w:jc w:val="center"/>
        <w:rPr>
          <w:b/>
          <w:lang w:val="en-US"/>
        </w:rPr>
      </w:pPr>
      <w:r>
        <w:rPr>
          <w:b/>
          <w:lang w:val="en-US"/>
        </w:rPr>
        <w:t xml:space="preserve">ABSTRACT</w:t>
      </w:r>
      <w:r>
        <w:rPr>
          <w:b/>
          <w:lang w:val="en-US"/>
        </w:rPr>
      </w:r>
    </w:p>
    <w:p>
      <w:pPr>
        <w:pBdr/>
        <w:spacing/>
        <w:ind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Endodontics</w:t>
      </w:r>
      <w:r>
        <w:rPr>
          <w:lang w:val="en-US"/>
        </w:rPr>
        <w:t xml:space="preserve"> is a specialty of dentistry that deals with the diagnosis, treatment, and prevention of diseases of the root canal system. In recent years, </w:t>
      </w:r>
      <w:r>
        <w:rPr>
          <w:lang w:val="en-US"/>
        </w:rPr>
        <w:t xml:space="preserve">endodontics</w:t>
      </w:r>
      <w:r>
        <w:rPr>
          <w:lang w:val="en-US"/>
        </w:rPr>
        <w:t xml:space="preserve"> has experienced significant clinical and technological advances. The evolution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 is closely related to the understanding of the anatomy and physiology of the root canal system, as well as the development of new techniques, instruments, and materials. Clinical and technological a</w:t>
      </w:r>
      <w:r>
        <w:rPr>
          <w:lang w:val="en-US"/>
        </w:rPr>
        <w:t xml:space="preserve">dvances have enabled dentists to perform more precise, efficient, and minimally invasive treatments, significantly improving clinical outcomes and patients' quality of life. In this context, this study presents a comprehensive review of recent advances in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highlighting the main clinical and technological approaches in endodontic treatment.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Keywords: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endodontic treatment, technological advances, contemporary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endodontic materials, min</w:t>
      </w:r>
      <w:r>
        <w:rPr>
          <w:lang w:val="en-US"/>
        </w:rPr>
        <w:t xml:space="preserve">imally invasive </w:t>
      </w:r>
      <w:r>
        <w:rPr>
          <w:lang w:val="en-US"/>
        </w:rPr>
        <w:t xml:space="preserve">endodontics</w:t>
      </w:r>
      <w:r>
        <w:rPr>
          <w:lang w:val="en-US"/>
        </w:rPr>
        <w:t xml:space="preserve">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Bdr/>
        <w:spacing w:line="360" w:lineRule="auto"/>
        <w:ind/>
        <w:jc w:val="center"/>
        <w:rPr>
          <w:lang w:val="en-US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5638800</wp:posOffset>
                </wp:positionH>
                <wp:positionV relativeFrom="paragraph">
                  <wp:posOffset>-571499</wp:posOffset>
                </wp:positionV>
                <wp:extent cx="171450" cy="323850"/>
                <wp:effectExtent l="0" t="0" r="0" b="0"/>
                <wp:wrapNone/>
                <wp:docPr id="4" name="Retângul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5288850" y="3646650"/>
                          <a:ext cx="1143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o:spt="1" type="#_x0000_t1" style="position:absolute;z-index:251660288;o:allowoverlap:true;o:allowincell:true;mso-position-horizontal-relative:text;margin-left:444.00pt;mso-position-horizontal:absolute;mso-position-vertical-relative:text;margin-top:-45.00pt;mso-position-vertical:absolute;width:13.50pt;height:25.50pt;mso-wrap-distance-left:9.00pt;mso-wrap-distance-top:0.00pt;mso-wrap-distance-right:9.00pt;mso-wrap-distance-bottom:0.00pt;v-text-anchor:top;visibility:visible;" fillcolor="#FFFFFF" stroked="f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5638800</wp:posOffset>
                </wp:positionH>
                <wp:positionV relativeFrom="paragraph">
                  <wp:posOffset>-571499</wp:posOffset>
                </wp:positionV>
                <wp:extent cx="171450" cy="323850"/>
                <wp:effectExtent l="0" t="0" r="0" b="0"/>
                <wp:wrapNone/>
                <wp:docPr id="5" name="Retângul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5288850" y="3646650"/>
                          <a:ext cx="1143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o:spt="1" type="#_x0000_t1" style="position:absolute;z-index:251661312;o:allowoverlap:true;o:allowincell:true;mso-position-horizontal-relative:text;margin-left:444.00pt;mso-position-horizontal:absolute;mso-position-vertical-relative:text;margin-top:-45.00pt;mso-position-vertical:absolute;width:13.50pt;height:25.50pt;mso-wrap-distance-left:9.00pt;mso-wrap-distance-top:0.00pt;mso-wrap-distance-right:9.00pt;mso-wrap-distance-bottom:0.00pt;v-text-anchor:top;visibility:visible;" fillcolor="#FFFFFF" stroked="f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val="en-US"/>
        </w:rPr>
      </w:r>
    </w:p>
    <w:p>
      <w:pPr>
        <w:pBdr/>
        <w:spacing/>
        <w:ind/>
        <w:rPr>
          <w:b/>
          <w:lang w:val="en-US"/>
        </w:rPr>
      </w:pPr>
      <w:r>
        <w:rPr>
          <w:lang w:val="en-US"/>
        </w:rPr>
        <w:br w:type="page" w:clear="all"/>
      </w:r>
      <w:r>
        <w:rPr>
          <w:b/>
          <w:lang w:val="en-US"/>
        </w:rPr>
      </w:r>
    </w:p>
    <w:p>
      <w:pPr>
        <w:pBdr/>
        <w:spacing/>
        <w:ind/>
        <w:jc w:val="center"/>
        <w:rPr>
          <w:b/>
        </w:rPr>
      </w:pPr>
      <w:r/>
      <w:sdt>
        <w:sdtPr>
          <w15:appearance w15:val="boundingBox"/>
          <w:id w:val="515811952"/>
          <w:showingPlcHdr w:val="true"/>
          <w:tag w:val="goog_rdk_0"/>
          <w:rPr/>
        </w:sdtPr>
        <w:sdtContent>
          <w:r>
            <w:t xml:space="preserve">     </w:t>
          </w:r>
        </w:sdtContent>
      </w:sdt>
      <w:r>
        <w:rPr>
          <w:b/>
        </w:rPr>
        <w:t xml:space="preserve">SUMÁRIO</w:t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 w:line="360" w:lineRule="auto"/>
        <w:ind/>
        <w:jc w:val="center"/>
        <w:rPr/>
      </w:pPr>
      <w:r/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tabs>
          <w:tab w:val="right" w:leader="none" w:pos="9061"/>
        </w:tabs>
        <w:spacing w:after="100" w:line="360" w:lineRule="auto"/>
        <w:ind/>
        <w:jc w:val="both"/>
        <w:rPr>
          <w:color w:val="000000"/>
        </w:rPr>
      </w:pPr>
      <w:r/>
      <w:bookmarkStart w:id="1" w:name="_heading=h.gjdgxs"/>
      <w:r/>
      <w:bookmarkEnd w:id="1"/>
      <w:r>
        <w:rPr>
          <w:color w:val="000000"/>
        </w:rPr>
        <w:t xml:space="preserve">1 INTRODUÇÃO                                                                                                                       </w:t>
      </w:r>
      <w:r>
        <w:rPr>
          <w:color w:val="000000"/>
        </w:rPr>
        <w:t xml:space="preserve">7</w:t>
      </w:r>
      <w:r>
        <w:rPr>
          <w:color w:val="000000"/>
        </w:rPr>
      </w:r>
    </w:p>
    <w:sdt>
      <w:sdtPr>
        <w15:appearance w15:val="boundingBox"/>
        <w:id w:val="-1602713651"/>
        <w:docPartObj>
          <w:docPartGallery w:val="Table of Contents"/>
          <w:docPartUnique w:val="true"/>
        </w:docPartObj>
        <w:rPr/>
      </w:sdtPr>
      <w:sdtContent>
        <w:p>
          <w:pPr>
            <w:pStyle w:val="800"/>
            <w:pBdr/>
            <w:tabs>
              <w:tab w:val="right" w:leader="none" w:pos="9061"/>
            </w:tabs>
            <w:spacing w:line="360" w:lineRule="auto"/>
            <w:ind/>
            <w:jc w:val="both"/>
            <w:rPr>
              <w:rStyle w:val="802"/>
              <w:color w:val="auto"/>
              <w:u w:val="none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tooltip="#_Toc193276948" w:anchor="_Toc193276948" w:history="1">
            <w:r>
              <w:rPr>
                <w:rStyle w:val="802"/>
                <w:color w:val="auto"/>
                <w:u w:val="none"/>
              </w:rPr>
              <w:t xml:space="preserve">2 OBJETIVOS</w:t>
            </w:r>
            <w:r>
              <w:rPr>
                <w:rStyle w:val="802"/>
                <w:color w:val="auto"/>
                <w:u w:val="none"/>
              </w:rPr>
              <w:t xml:space="preserve"> </w:t>
            </w:r>
            <w:r>
              <w:tab/>
            </w:r>
            <w:r>
              <w:fldChar w:fldCharType="begin"/>
            </w:r>
            <w:r>
              <w:instrText xml:space="preserve"> PAGEREF _Toc193276948 \h </w:instrText>
            </w:r>
            <w:r/>
            <w:r>
              <w:fldChar w:fldCharType="separate"/>
            </w:r>
            <w:r>
              <w:t xml:space="preserve">8</w:t>
            </w:r>
            <w:r>
              <w:fldChar w:fldCharType="end"/>
            </w:r>
          </w:hyperlink>
          <w:r/>
          <w:r>
            <w:rPr>
              <w:rStyle w:val="802"/>
              <w:color w:val="auto"/>
              <w:u w:val="none"/>
            </w:rPr>
          </w:r>
        </w:p>
        <w:p>
          <w:pPr>
            <w:pBdr/>
            <w:tabs>
              <w:tab w:val="right" w:leader="none" w:pos="9071"/>
            </w:tabs>
            <w:spacing w:after="240" w:line="360" w:lineRule="auto"/>
            <w:ind/>
            <w:jc w:val="both"/>
            <w:rPr>
              <w:rFonts w:eastAsiaTheme="minorEastAsia"/>
            </w:rPr>
          </w:pPr>
          <w:r>
            <w:rPr>
              <w:rFonts w:eastAsiaTheme="minorEastAsia"/>
            </w:rPr>
            <w:t xml:space="preserve">3 JUSTIFICATIVA</w:t>
          </w:r>
          <w:r>
            <w:rPr>
              <w:rFonts w:eastAsiaTheme="minorEastAsia"/>
            </w:rPr>
            <w:tab/>
            <w:t xml:space="preserve">8</w:t>
          </w:r>
          <w:r>
            <w:rPr>
              <w:rFonts w:eastAsiaTheme="minorEastAsia"/>
            </w:rPr>
          </w:r>
        </w:p>
        <w:p>
          <w:pPr>
            <w:pStyle w:val="800"/>
            <w:pBdr/>
            <w:tabs>
              <w:tab w:val="right" w:leader="none" w:pos="9061"/>
            </w:tabs>
            <w:spacing w:line="360" w:lineRule="auto"/>
            <w:ind/>
            <w:jc w:val="both"/>
            <w:rPr>
              <w:rFonts w:asciiTheme="minorHAnsi" w:hAnsiTheme="minorHAnsi" w:eastAsiaTheme="minorEastAsia" w:cstheme="minorBidi"/>
              <w:sz w:val="22"/>
              <w:szCs w:val="22"/>
            </w:rPr>
          </w:pPr>
          <w:r/>
          <w:hyperlink w:tooltip="#_Toc193276949" w:anchor="_Toc193276949" w:history="1">
            <w:r>
              <w:rPr>
                <w:rStyle w:val="802"/>
                <w:color w:val="auto"/>
                <w:u w:val="none"/>
              </w:rPr>
              <w:t xml:space="preserve">4 METODOLOGIA</w:t>
            </w:r>
            <w:r>
              <w:tab/>
            </w:r>
            <w:r>
              <w:fldChar w:fldCharType="begin"/>
            </w:r>
            <w:r>
              <w:instrText xml:space="preserve"> PAGEREF _Toc193276949 \h </w:instrText>
            </w:r>
            <w:r/>
            <w:r>
              <w:fldChar w:fldCharType="separate"/>
            </w:r>
            <w:r>
              <w:t xml:space="preserve">9</w:t>
            </w:r>
            <w:r>
              <w:fldChar w:fldCharType="end"/>
            </w:r>
          </w:hyperlink>
          <w:r/>
          <w:r>
            <w:rPr>
              <w:rFonts w:asciiTheme="minorHAnsi" w:hAnsiTheme="minorHAnsi" w:eastAsiaTheme="minorEastAsia" w:cstheme="minorBidi"/>
              <w:sz w:val="22"/>
              <w:szCs w:val="22"/>
            </w:rPr>
          </w:r>
        </w:p>
        <w:p>
          <w:pPr>
            <w:pStyle w:val="800"/>
            <w:pBdr/>
            <w:tabs>
              <w:tab w:val="right" w:leader="none" w:pos="9061"/>
            </w:tabs>
            <w:spacing w:line="360" w:lineRule="auto"/>
            <w:ind/>
            <w:jc w:val="both"/>
            <w:rPr>
              <w:rFonts w:asciiTheme="minorHAnsi" w:hAnsiTheme="minorHAnsi" w:eastAsiaTheme="minorEastAsia" w:cstheme="minorBidi"/>
              <w:sz w:val="22"/>
              <w:szCs w:val="22"/>
            </w:rPr>
          </w:pPr>
          <w:r/>
          <w:hyperlink w:tooltip="#_Toc193276950" w:anchor="_Toc193276950" w:history="1">
            <w:r>
              <w:rPr>
                <w:rStyle w:val="802"/>
                <w:color w:val="auto"/>
                <w:u w:val="none"/>
              </w:rPr>
              <w:t xml:space="preserve">4 RESULTADOS</w:t>
            </w:r>
            <w:r>
              <w:tab/>
            </w:r>
            <w:r>
              <w:fldChar w:fldCharType="begin"/>
            </w:r>
            <w:r>
              <w:instrText xml:space="preserve"> PAGEREF _Toc193276950 \h </w:instrText>
            </w:r>
            <w:r/>
            <w:r>
              <w:fldChar w:fldCharType="separate"/>
            </w:r>
            <w:r>
              <w:t xml:space="preserve">10</w:t>
            </w:r>
            <w:r>
              <w:fldChar w:fldCharType="end"/>
            </w:r>
          </w:hyperlink>
          <w:r/>
          <w:r>
            <w:rPr>
              <w:rFonts w:asciiTheme="minorHAnsi" w:hAnsiTheme="minorHAnsi" w:eastAsiaTheme="minorEastAsia" w:cstheme="minorBidi"/>
              <w:sz w:val="22"/>
              <w:szCs w:val="22"/>
            </w:rPr>
          </w:r>
        </w:p>
        <w:p>
          <w:pPr>
            <w:pStyle w:val="800"/>
            <w:pBdr/>
            <w:tabs>
              <w:tab w:val="right" w:leader="none" w:pos="9061"/>
            </w:tabs>
            <w:spacing w:line="360" w:lineRule="auto"/>
            <w:ind/>
            <w:jc w:val="both"/>
            <w:rPr>
              <w:rFonts w:asciiTheme="minorHAnsi" w:hAnsiTheme="minorHAnsi" w:eastAsiaTheme="minorEastAsia" w:cstheme="minorBidi"/>
              <w:sz w:val="22"/>
              <w:szCs w:val="22"/>
            </w:rPr>
          </w:pPr>
          <w:r/>
          <w:hyperlink w:tooltip="#_Toc193276952" w:anchor="_Toc193276952" w:history="1">
            <w:r>
              <w:rPr>
                <w:rStyle w:val="802"/>
                <w:color w:val="auto"/>
                <w:u w:val="none"/>
              </w:rPr>
              <w:t xml:space="preserve">5 DISCUSSÃO</w:t>
            </w:r>
            <w:r>
              <w:tab/>
            </w:r>
            <w:r>
              <w:fldChar w:fldCharType="begin"/>
            </w:r>
            <w:r>
              <w:instrText xml:space="preserve"> PAGEREF _Toc193276952 \h </w:instrText>
            </w:r>
            <w:r/>
            <w:r>
              <w:fldChar w:fldCharType="separate"/>
            </w:r>
            <w:r>
              <w:t xml:space="preserve">15</w:t>
            </w:r>
            <w:r>
              <w:fldChar w:fldCharType="end"/>
            </w:r>
          </w:hyperlink>
          <w:r/>
          <w:r>
            <w:rPr>
              <w:rFonts w:asciiTheme="minorHAnsi" w:hAnsiTheme="minorHAnsi" w:eastAsiaTheme="minorEastAsia" w:cstheme="minorBidi"/>
              <w:sz w:val="22"/>
              <w:szCs w:val="22"/>
            </w:rPr>
          </w:r>
        </w:p>
        <w:p>
          <w:pPr>
            <w:pStyle w:val="800"/>
            <w:pBdr/>
            <w:tabs>
              <w:tab w:val="right" w:leader="none" w:pos="9061"/>
            </w:tabs>
            <w:spacing w:line="360" w:lineRule="auto"/>
            <w:ind/>
            <w:jc w:val="both"/>
            <w:rPr>
              <w:rFonts w:asciiTheme="minorHAnsi" w:hAnsiTheme="minorHAnsi" w:eastAsiaTheme="minorEastAsia" w:cstheme="minorBidi"/>
              <w:sz w:val="22"/>
              <w:szCs w:val="22"/>
            </w:rPr>
          </w:pPr>
          <w:r/>
          <w:hyperlink w:tooltip="#_Toc193276953" w:anchor="_Toc193276953" w:history="1">
            <w:r>
              <w:rPr>
                <w:rStyle w:val="802"/>
                <w:color w:val="auto"/>
                <w:u w:val="none"/>
              </w:rPr>
              <w:t xml:space="preserve">6 CONCLUSÃO</w:t>
            </w:r>
            <w:r>
              <w:tab/>
            </w:r>
            <w:r>
              <w:fldChar w:fldCharType="begin"/>
            </w:r>
            <w:r>
              <w:instrText xml:space="preserve"> PAGEREF _Toc193276953 \h </w:instrText>
            </w:r>
            <w:r/>
            <w:r>
              <w:fldChar w:fldCharType="separate"/>
            </w:r>
            <w:r>
              <w:t xml:space="preserve">17</w:t>
            </w:r>
            <w:r>
              <w:fldChar w:fldCharType="end"/>
            </w:r>
          </w:hyperlink>
          <w:r/>
          <w:r>
            <w:rPr>
              <w:rFonts w:asciiTheme="minorHAnsi" w:hAnsiTheme="minorHAnsi" w:eastAsiaTheme="minorEastAsia" w:cstheme="minorBidi"/>
              <w:sz w:val="22"/>
              <w:szCs w:val="22"/>
            </w:rPr>
          </w:r>
        </w:p>
        <w:p>
          <w:pPr>
            <w:pStyle w:val="800"/>
            <w:pBdr/>
            <w:tabs>
              <w:tab w:val="right" w:leader="none" w:pos="9061"/>
            </w:tabs>
            <w:spacing w:line="360" w:lineRule="auto"/>
            <w:ind/>
            <w:jc w:val="both"/>
            <w:rPr>
              <w:rFonts w:asciiTheme="minorHAnsi" w:hAnsiTheme="minorHAnsi" w:eastAsiaTheme="minorEastAsia" w:cstheme="minorBidi"/>
              <w:sz w:val="22"/>
              <w:szCs w:val="22"/>
            </w:rPr>
          </w:pPr>
          <w:r>
            <w:rPr>
              <w:rStyle w:val="802"/>
              <w:color w:val="auto"/>
              <w:u w:val="none"/>
            </w:rPr>
            <w:t xml:space="preserve">7 REFERÊNCIAS                                                                                                                     18</w:t>
          </w:r>
          <w:r>
            <w:rPr>
              <w:rFonts w:asciiTheme="minorHAnsi" w:hAnsiTheme="minorHAnsi" w:eastAsiaTheme="minorEastAsia" w:cstheme="minorBidi"/>
              <w:sz w:val="22"/>
              <w:szCs w:val="22"/>
            </w:rPr>
          </w:r>
        </w:p>
        <w:p>
          <w:pPr>
            <w:pBdr/>
            <w:tabs>
              <w:tab w:val="right" w:leader="none" w:pos="9075"/>
            </w:tabs>
            <w:spacing w:after="80" w:before="200" w:line="360" w:lineRule="auto"/>
            <w:ind/>
            <w:jc w:val="both"/>
            <w:rPr>
              <w:b/>
              <w:u w:val="single"/>
            </w:rPr>
          </w:pPr>
          <w:r>
            <w:fldChar w:fldCharType="end"/>
          </w:r>
          <w:r>
            <w:rPr>
              <w:b/>
              <w:u w:val="single"/>
            </w:rPr>
          </w:r>
        </w:p>
      </w:sdtContent>
    </w:sdt>
    <w:p>
      <w:pPr>
        <w:pBdr/>
        <w:spacing/>
        <w:ind/>
        <w:rPr/>
      </w:pPr>
      <w:r/>
      <w:r/>
    </w:p>
    <w:p>
      <w:pPr>
        <w:pStyle w:val="789"/>
        <w:pBdr/>
        <w:spacing w:line="360" w:lineRule="auto"/>
        <w:ind/>
        <w:jc w:val="center"/>
        <w:rPr/>
        <w:sectPr>
          <w:headerReference w:type="default" r:id="rId9"/>
          <w:headerReference w:type="even" r:id="rId10"/>
          <w:footnotePr/>
          <w:endnotePr/>
          <w:type w:val="nextPage"/>
          <w:pgSz w:h="16838" w:orient="portrait" w:w="11906"/>
          <w:pgMar w:top="1701" w:right="1134" w:bottom="1134" w:left="1701" w:header="709" w:footer="709" w:gutter="0"/>
          <w:pgNumType w:start="1"/>
          <w:cols w:num="1" w:sep="0" w:space="720" w:equalWidth="1"/>
        </w:sectPr>
      </w:pPr>
      <w:r/>
      <w:bookmarkStart w:id="2" w:name="_heading=h.30j0zll"/>
      <w:r/>
      <w:bookmarkEnd w:id="2"/>
      <w:r/>
      <w:r/>
    </w:p>
    <w:p>
      <w:pPr>
        <w:pBdr/>
        <w:spacing/>
        <w:ind/>
        <w:rPr>
          <w:b/>
        </w:rPr>
        <w:sectPr>
          <w:footnotePr/>
          <w:endnotePr/>
          <w:type w:val="continuous"/>
          <w:pgSz w:h="16838" w:orient="portrait" w:w="11906"/>
          <w:pgMar w:top="1701" w:right="1134" w:bottom="1134" w:left="1701" w:header="709" w:footer="709" w:gutter="0"/>
          <w:cols w:num="1" w:sep="0" w:space="720" w:equalWidth="1"/>
        </w:sectPr>
      </w:pPr>
      <w:r>
        <w:rPr>
          <w:b/>
        </w:rPr>
      </w:r>
      <w:r>
        <w:rPr>
          <w:b/>
        </w:rPr>
      </w:r>
    </w:p>
    <w:p>
      <w:pPr>
        <w:pBdr/>
        <w:spacing/>
        <w:ind/>
        <w:rPr>
          <w:b/>
        </w:rPr>
      </w:pPr>
      <w:r>
        <w:rPr>
          <w:b/>
        </w:rPr>
        <w:t xml:space="preserve">1 INTRODUÇÃO</w:t>
      </w:r>
      <w:r>
        <w:rPr>
          <w:b/>
        </w:rPr>
      </w:r>
    </w:p>
    <w:p>
      <w:pPr>
        <w:pBdr/>
        <w:spacing w:line="360" w:lineRule="auto"/>
        <w:ind w:firstLine="709"/>
        <w:jc w:val="both"/>
        <w:rPr/>
      </w:pPr>
      <w:r/>
      <w:r/>
    </w:p>
    <w:p>
      <w:pPr>
        <w:pBdr/>
        <w:spacing w:line="360" w:lineRule="auto"/>
        <w:ind w:firstLine="709"/>
        <w:jc w:val="both"/>
        <w:rPr/>
      </w:pPr>
      <w:r>
        <w:t xml:space="preserve"> </w:t>
      </w:r>
      <w:r>
        <w:t xml:space="preserve">A endodontia, ramo da odontologia responsável pelo diagnóstico, tratamento e prev</w:t>
      </w:r>
      <w:r>
        <w:t xml:space="preserve">enção das doenças do sistema de canais radiculares, tem experimentado significativos avanços nos últimos anos. O tratamento endodôntico, em particular, tem sido objeto de intensa pesquisa e desenvolvimento, visando melhorar a eficácia, segurança e conforto</w:t>
      </w:r>
      <w:r>
        <w:t xml:space="preserve"> do paciente.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A evolução da endodontia está intimamente relacionada à compreensão da anatomia e fisiologia do sistema de canais radiculares, bem como ao desenvolv</w:t>
      </w:r>
      <w:r>
        <w:t xml:space="preserve">imento de novas técnicas, instrumentos e materiais. Os avanços clínicos e tecnológicos têm permitido aos cirurgiões-dentistas realizar tratamentos mais precisos, eficientes e minimamente invasivos, melhorando significativamente os resultados clínicos e a q</w:t>
      </w:r>
      <w:r>
        <w:t xml:space="preserve">ualidade de vida dos pacientes.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No entanto, apesar dos progressos alcançados, ainda existem desafios a serem superados, como a complexidade da anatomia radicular, a resistência bacteriana e a necessidade de técnicas mais eficazes para o tratamento de dentes </w:t>
      </w:r>
      <w:r>
        <w:t xml:space="preserve">com canais complexos. Nesse contexto, este trabalho tem como objetivo apresentar os principais avanços clínicos e tecnológicos no tratamento endodôntico, destacando as novas abordagens e tecnologias que estão revolucionando a prática clínica em endodontia.</w:t>
      </w:r>
      <w:r/>
    </w:p>
    <w:p>
      <w:pPr>
        <w:pBdr/>
        <w:spacing w:line="360" w:lineRule="auto"/>
        <w:ind w:firstLine="709"/>
        <w:jc w:val="both"/>
        <w:rPr>
          <w:b/>
        </w:rPr>
      </w:pPr>
      <w:r>
        <w:rPr>
          <w:b/>
        </w:rPr>
        <w:t xml:space="preserve"> </w:t>
      </w:r>
      <w:r>
        <w:rPr>
          <w:b/>
        </w:rPr>
      </w:r>
    </w:p>
    <w:p>
      <w:pPr>
        <w:pBdr/>
        <w:spacing w:line="360" w:lineRule="auto"/>
        <w:ind w:firstLine="709"/>
        <w:jc w:val="both"/>
        <w:rPr>
          <w:b/>
        </w:rPr>
      </w:pPr>
      <w:r>
        <w:rPr>
          <w:b/>
        </w:rPr>
        <w:t xml:space="preserve">1.1 </w:t>
      </w:r>
      <w:r>
        <w:rPr>
          <w:b/>
        </w:rPr>
        <w:t xml:space="preserve">Breve histórico</w:t>
      </w:r>
      <w:r>
        <w:rPr>
          <w:b/>
        </w:rPr>
        <w:t xml:space="preserve"> da Endodontia</w:t>
      </w:r>
      <w:r>
        <w:rPr>
          <w:b/>
        </w:rPr>
      </w:r>
    </w:p>
    <w:p>
      <w:pPr>
        <w:pBdr/>
        <w:spacing w:line="360" w:lineRule="auto"/>
        <w:ind w:firstLine="709"/>
        <w:jc w:val="both"/>
        <w:rPr/>
      </w:pPr>
      <w:r>
        <w:t xml:space="preserve">- A endodontia começou a se desenvolver no século XIX com a introdução da teoria da infecção bacteriana (</w:t>
      </w:r>
      <w:r>
        <w:t xml:space="preserve">GROSSMAN, L. I.</w:t>
      </w:r>
      <w:r>
        <w:t xml:space="preserve"> 1955);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- No início do século XX, a técnica de tratamento endodôntico foi padronizada com a introdução da técnica de preparo e obturação de canais radiculares (</w:t>
      </w:r>
      <w:r>
        <w:t xml:space="preserve">INGLE, J. I.</w:t>
      </w:r>
      <w:r>
        <w:t xml:space="preserve"> 1965);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- Nos anos 1960 e 1970, a endodontia começou a se tornar uma especialidade reconhecida (</w:t>
      </w:r>
      <w:r>
        <w:t xml:space="preserve">AMERICAN ASSOCIATION OF ENDODONTISTS</w:t>
      </w:r>
      <w:r>
        <w:t xml:space="preserve">. 1974).</w:t>
      </w:r>
      <w:r/>
    </w:p>
    <w:p>
      <w:pPr>
        <w:pBdr/>
        <w:spacing/>
        <w:ind/>
        <w:rPr/>
      </w:pPr>
      <w:r>
        <w:br w:type="page" w:clear="all"/>
      </w:r>
      <w:r/>
    </w:p>
    <w:p>
      <w:pPr>
        <w:pStyle w:val="779"/>
        <w:pBdr/>
        <w:spacing/>
        <w:ind/>
        <w:rPr>
          <w:sz w:val="24"/>
          <w:szCs w:val="24"/>
        </w:rPr>
      </w:pPr>
      <w:r/>
      <w:bookmarkStart w:id="3" w:name="_Toc193276948"/>
      <w:r>
        <w:rPr>
          <w:sz w:val="24"/>
          <w:szCs w:val="24"/>
        </w:rPr>
        <w:t xml:space="preserve">2 OBJETIVOS</w:t>
      </w:r>
      <w:bookmarkEnd w:id="3"/>
      <w:r/>
      <w:r>
        <w:rPr>
          <w:sz w:val="24"/>
          <w:szCs w:val="24"/>
        </w:rPr>
      </w:r>
    </w:p>
    <w:p>
      <w:pPr>
        <w:pBdr/>
        <w:spacing w:line="360" w:lineRule="auto"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 w:line="360" w:lineRule="auto"/>
        <w:ind/>
        <w:rPr/>
      </w:pPr>
      <w:r>
        <w:t xml:space="preserve">- Apresentar os principais avanços clínicos no tratamento endodôntico;</w:t>
      </w:r>
      <w:r/>
    </w:p>
    <w:p>
      <w:pPr>
        <w:pBdr/>
        <w:spacing w:line="360" w:lineRule="auto"/>
        <w:ind/>
        <w:rPr/>
      </w:pPr>
      <w:r>
        <w:t xml:space="preserve">- Discutir as novas tecnologias aplicadas à endodontia;</w:t>
      </w:r>
      <w:r/>
    </w:p>
    <w:p>
      <w:pPr>
        <w:pBdr/>
        <w:spacing w:line="360" w:lineRule="auto"/>
        <w:ind/>
        <w:rPr/>
      </w:pPr>
      <w:r>
        <w:t xml:space="preserve">- Analisar o impacto dos avanços na qualidade de vida dos pacientes.</w:t>
      </w:r>
      <w:r/>
    </w:p>
    <w:p>
      <w:pPr>
        <w:pBdr/>
        <w:spacing w:line="360" w:lineRule="auto"/>
        <w:ind/>
        <w:rPr/>
      </w:pPr>
      <w:r/>
      <w:r/>
    </w:p>
    <w:p>
      <w:pPr>
        <w:pBdr/>
        <w:spacing w:line="360" w:lineRule="auto"/>
        <w:ind/>
        <w:rPr/>
      </w:pPr>
      <w:r/>
      <w:r/>
    </w:p>
    <w:p>
      <w:pPr>
        <w:pBdr/>
        <w:spacing w:line="360" w:lineRule="auto"/>
        <w:ind/>
        <w:rPr>
          <w:b/>
        </w:rPr>
      </w:pPr>
      <w:r>
        <w:rPr>
          <w:b/>
        </w:rPr>
        <w:t xml:space="preserve">3 JUSTIFICATIVA</w:t>
      </w:r>
      <w:r>
        <w:rPr>
          <w:b/>
        </w:rPr>
      </w:r>
    </w:p>
    <w:p>
      <w:pPr>
        <w:pBdr/>
        <w:spacing w:line="360" w:lineRule="auto"/>
        <w:ind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          </w:t>
      </w:r>
      <w:r>
        <w:t xml:space="preserve">A compreensão dos avanços recentes na endodontia é fundamental para que os cirurgiões-d</w:t>
      </w:r>
      <w:r>
        <w:t xml:space="preserve">entistas possam oferecer tratamentos mais eficazes e seguros aos pacientes. Além disso, este trabalho visa contribuir para a disseminação do conhecimento científico em endodontia, incentivando a pesquisa e o desenvolvimento de novas técnicas e tecnologias.</w:t>
      </w:r>
      <w:r/>
    </w:p>
    <w:p>
      <w:pPr>
        <w:pStyle w:val="779"/>
        <w:pBdr/>
        <w:spacing/>
        <w:ind/>
        <w:rPr>
          <w:sz w:val="24"/>
          <w:szCs w:val="24"/>
        </w:rPr>
      </w:pPr>
      <w:r>
        <w:br w:type="page" w:clear="all"/>
      </w:r>
      <w:bookmarkStart w:id="4" w:name="_Toc193276949"/>
      <w:r>
        <w:rPr>
          <w:sz w:val="24"/>
          <w:szCs w:val="24"/>
        </w:rPr>
        <w:t xml:space="preserve">4</w:t>
      </w:r>
      <w:r>
        <w:rPr>
          <w:sz w:val="24"/>
          <w:szCs w:val="24"/>
        </w:rPr>
        <w:t xml:space="preserve"> METODOLOGIA</w:t>
      </w:r>
      <w:bookmarkEnd w:id="4"/>
      <w:r/>
      <w:r>
        <w:rPr>
          <w:sz w:val="24"/>
          <w:szCs w:val="24"/>
        </w:rPr>
      </w:r>
    </w:p>
    <w:p>
      <w:pPr>
        <w:pBdr/>
        <w:spacing w:line="360" w:lineRule="auto"/>
        <w:ind w:firstLine="709"/>
        <w:rPr/>
      </w:pPr>
      <w:r/>
      <w:r/>
    </w:p>
    <w:p>
      <w:pPr>
        <w:pBdr/>
        <w:spacing w:line="360" w:lineRule="auto"/>
        <w:ind w:firstLine="709"/>
        <w:jc w:val="both"/>
        <w:rPr/>
      </w:pPr>
      <w:r>
        <w:t xml:space="preserve">Trata-se de uma revisão da literatura do tipo mapeamento baseada na metodologia de revisão sistemática, considerada padrão-ouro para melhor evidência na pesquisa segundo Zina &amp; Moimaz (2012),</w:t>
      </w:r>
      <w:r>
        <w:rPr>
          <w:color w:val="ff0000"/>
        </w:rPr>
        <w:t xml:space="preserve"> </w:t>
      </w:r>
      <w:r>
        <w:t xml:space="preserve">planejada para </w:t>
      </w:r>
      <w:r>
        <w:t xml:space="preserve">discorrer sobre o seguinte tema: “</w:t>
      </w:r>
      <w:r>
        <w:t xml:space="preserve">Avanços Recentes na Endodontia: Abordagens Clínicas e Tecnológicas no Tratamento Endodôntico"</w:t>
      </w:r>
      <w:r>
        <w:t xml:space="preserve">.</w:t>
      </w:r>
      <w:r/>
    </w:p>
    <w:p>
      <w:pPr>
        <w:pBdr/>
        <w:spacing w:line="360" w:lineRule="auto"/>
        <w:ind w:firstLine="709"/>
        <w:jc w:val="both"/>
        <w:rPr/>
      </w:pPr>
      <w:r>
        <w:rPr>
          <w:highlight w:val="white"/>
        </w:rPr>
        <w:t xml:space="preserve">Reunir pesquisas, se livrar do desnecessário e resumir o melhor do que resta capta a essência d</w:t>
      </w:r>
      <w:r>
        <w:rPr>
          <w:highlight w:val="white"/>
        </w:rPr>
        <w:t xml:space="preserve">a ciência da revisão de literatura</w:t>
      </w:r>
      <w:r>
        <w:rPr>
          <w:highlight w:val="white"/>
        </w:rPr>
        <w:t xml:space="preserve">. As revisões de mapeamento permitem a contextualização de revisões sistemáticas em profundidade </w:t>
      </w:r>
      <w:r>
        <w:rPr>
          <w:highlight w:val="white"/>
        </w:rPr>
        <w:t xml:space="preserve">dentro da literatura mais ampla e a identificação de lacunas na base de evidências, além de oferecer resultados subsequentes que podem envolver um trabalho de revisão adicional ou pesquisa primária e este resultado não é conhecido de antemão (GRANT &amp; BOOTH</w:t>
      </w:r>
      <w:r>
        <w:rPr>
          <w:i/>
          <w:highlight w:val="white"/>
        </w:rPr>
        <w:t xml:space="preserve">,</w:t>
      </w:r>
      <w:r>
        <w:rPr>
          <w:highlight w:val="white"/>
        </w:rPr>
        <w:t xml:space="preserve"> 2009).</w:t>
      </w:r>
      <w:r/>
    </w:p>
    <w:p>
      <w:pPr>
        <w:pBdr/>
        <w:spacing w:line="360" w:lineRule="auto"/>
        <w:ind w:firstLine="709"/>
        <w:jc w:val="both"/>
        <w:rPr>
          <w:lang w:val="en-US"/>
        </w:rPr>
      </w:pPr>
      <w:r>
        <w:t xml:space="preserve">Foi real</w:t>
      </w:r>
      <w:r>
        <w:t xml:space="preserve">izada uma pesquisa na seguinte base de dados</w:t>
      </w:r>
      <w:r>
        <w:t xml:space="preserve">: Sistema Online de Busca e Análise de Literatura Médica (PUBMED/MEDLINE)</w:t>
      </w:r>
      <w:r>
        <w:t xml:space="preserve">.</w:t>
      </w:r>
      <w:r>
        <w:t xml:space="preserve"> </w:t>
      </w:r>
      <w:r>
        <w:rPr>
          <w:lang w:val="en-US"/>
        </w:rPr>
        <w:t xml:space="preserve">Para a </w:t>
      </w:r>
      <w:r>
        <w:rPr>
          <w:lang w:val="en-US"/>
        </w:rPr>
        <w:t xml:space="preserve">pesquisa</w:t>
      </w:r>
      <w:r>
        <w:rPr>
          <w:lang w:val="en-US"/>
        </w:rPr>
        <w:t xml:space="preserve"> </w:t>
      </w:r>
      <w:r>
        <w:rPr>
          <w:lang w:val="en-US"/>
        </w:rPr>
        <w:t xml:space="preserve">foram</w:t>
      </w:r>
      <w:r>
        <w:rPr>
          <w:lang w:val="en-US"/>
        </w:rPr>
        <w:t xml:space="preserve"> </w:t>
      </w:r>
      <w:r>
        <w:rPr>
          <w:lang w:val="en-US"/>
        </w:rPr>
        <w:t xml:space="preserve">utilizados</w:t>
      </w:r>
      <w:r>
        <w:rPr>
          <w:lang w:val="en-US"/>
        </w:rPr>
        <w:t xml:space="preserve"> </w:t>
      </w:r>
      <w:r>
        <w:rPr>
          <w:lang w:val="en-US"/>
        </w:rPr>
        <w:t xml:space="preserve">os</w:t>
      </w:r>
      <w:r>
        <w:rPr>
          <w:lang w:val="en-US"/>
        </w:rPr>
        <w:t xml:space="preserve"> </w:t>
      </w:r>
      <w:r>
        <w:rPr>
          <w:lang w:val="en-US"/>
        </w:rPr>
        <w:t xml:space="preserve">descritores</w:t>
      </w:r>
      <w:r>
        <w:rPr>
          <w:lang w:val="en-US"/>
        </w:rPr>
        <w:t xml:space="preserve">:</w:t>
      </w:r>
      <w:r>
        <w:rPr>
          <w:lang w:val="en-US"/>
        </w:rPr>
        <w:t xml:space="preserve"> </w:t>
      </w:r>
      <w:r>
        <w:rPr>
          <w:i/>
          <w:lang w:val="en-US"/>
        </w:rPr>
        <w:t xml:space="preserve">Endodontics</w:t>
      </w:r>
      <w:r>
        <w:rPr>
          <w:i/>
          <w:lang w:val="en-US"/>
        </w:rPr>
        <w:t xml:space="preserve">, Endodontic treatment, Technological advances, Rotary and reciprocal instrumentation, </w:t>
      </w:r>
      <w:r>
        <w:rPr>
          <w:i/>
          <w:lang w:val="en-US"/>
        </w:rPr>
        <w:t xml:space="preserve">Irrigants</w:t>
      </w:r>
      <w:r>
        <w:rPr>
          <w:i/>
          <w:lang w:val="en-US"/>
        </w:rPr>
        <w:t xml:space="preserve">, </w:t>
      </w:r>
      <w:r>
        <w:rPr>
          <w:i/>
          <w:lang w:val="en-US"/>
        </w:rPr>
        <w:t xml:space="preserve">Obturation</w:t>
      </w:r>
      <w:r>
        <w:rPr>
          <w:i/>
          <w:lang w:val="en-US"/>
        </w:rPr>
        <w:t xml:space="preserve">, Contemporary </w:t>
      </w:r>
      <w:r>
        <w:rPr>
          <w:i/>
          <w:lang w:val="en-US"/>
        </w:rPr>
        <w:t xml:space="preserve">endodontics</w:t>
      </w:r>
      <w:r>
        <w:rPr>
          <w:i/>
          <w:lang w:val="en-US"/>
        </w:rPr>
        <w:t xml:space="preserve">, Innovations in </w:t>
      </w:r>
      <w:r>
        <w:rPr>
          <w:i/>
          <w:lang w:val="en-US"/>
        </w:rPr>
        <w:t xml:space="preserve">endodontics</w:t>
      </w:r>
      <w:r>
        <w:rPr>
          <w:i/>
          <w:lang w:val="en-US"/>
        </w:rPr>
        <w:t xml:space="preserve">, Endodontic treatment techniques, Endodontic materials.</w:t>
      </w:r>
      <w:r>
        <w:rPr>
          <w:lang w:val="en-US"/>
        </w:rPr>
      </w:r>
    </w:p>
    <w:p>
      <w:pPr>
        <w:pBdr/>
        <w:spacing w:line="360" w:lineRule="auto"/>
        <w:ind w:firstLine="709"/>
        <w:jc w:val="both"/>
        <w:rPr/>
      </w:pPr>
      <w:r>
        <w:t xml:space="preserve">Foi utilizado o filtro por idioma (línguas portuguesa, inglesa e espanhola), sem restrição quanto tipo de publicação e de estudo.</w:t>
      </w:r>
      <w:r>
        <w:t xml:space="preserve"> Com restrição quanto ao </w:t>
      </w:r>
      <w:r>
        <w:t xml:space="preserve">ano de publicação: acima de 2015</w:t>
      </w:r>
      <w:r>
        <w:t xml:space="preserve">. </w:t>
      </w:r>
      <w:r>
        <w:t xml:space="preserve">Foram selec</w:t>
      </w:r>
      <w:r>
        <w:t xml:space="preserve">ionados estudos que citavam avanços e inovações tecnológicas enquanto recurso para tratamento endodôntico</w:t>
      </w:r>
      <w:r>
        <w:t xml:space="preserve"> independente se em dentes permanentes ou decíduos</w:t>
      </w:r>
      <w:r>
        <w:t xml:space="preserve">,</w:t>
      </w:r>
      <w:r>
        <w:t xml:space="preserve"> publicados através </w:t>
      </w:r>
      <w:r>
        <w:t xml:space="preserve">do </w:t>
      </w:r>
      <w:r>
        <w:t xml:space="preserve">periódico </w:t>
      </w:r>
      <w:r>
        <w:t xml:space="preserve">Journal of Endodontics</w:t>
      </w:r>
      <w:r>
        <w:t xml:space="preserve">. </w:t>
      </w:r>
      <w:r>
        <w:t xml:space="preserve">Estudos que não apresentavam informações sobre </w:t>
      </w:r>
      <w:r>
        <w:t xml:space="preserve">o assunto foram desconsiderados.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Inicialmente os títulos e resumos foram classificados, de acordo com os critérios de e</w:t>
      </w:r>
      <w:r>
        <w:t xml:space="preserve">legibilidade, por duas pesquisadoras previamente treinadas e calibradas (kappa &gt; 0.8). Quando existiram, as dúvidas foram identificadas e discutidas para obtenção do consenso. Em seguida, as publicações selecionadas foram lidas na íntegra para produção do </w:t>
      </w:r>
      <w:r>
        <w:t xml:space="preserve">trabalho.</w:t>
      </w:r>
      <w:r/>
    </w:p>
    <w:p>
      <w:pPr>
        <w:pBdr/>
        <w:spacing/>
        <w:ind/>
        <w:rPr/>
      </w:pPr>
      <w:r>
        <w:br w:type="page" w:clear="all"/>
      </w:r>
      <w:r/>
    </w:p>
    <w:p>
      <w:pPr>
        <w:pStyle w:val="779"/>
        <w:pBdr/>
        <w:spacing/>
        <w:ind/>
        <w:rPr>
          <w:sz w:val="24"/>
          <w:szCs w:val="24"/>
        </w:rPr>
      </w:pPr>
      <w:r/>
      <w:bookmarkStart w:id="5" w:name="_Toc193276950"/>
      <w:r>
        <w:rPr>
          <w:sz w:val="24"/>
          <w:szCs w:val="24"/>
        </w:rPr>
        <w:t xml:space="preserve">4 RESULTADOS</w:t>
      </w:r>
      <w:bookmarkEnd w:id="5"/>
      <w:r/>
      <w:r>
        <w:rPr>
          <w:sz w:val="24"/>
          <w:szCs w:val="24"/>
        </w:rPr>
      </w:r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 w:firstLine="709"/>
        <w:jc w:val="both"/>
        <w:rPr/>
      </w:pPr>
      <w:r>
        <w:t xml:space="preserve">Resultaram das buscas na base de dados 18</w:t>
      </w:r>
      <w:r>
        <w:t xml:space="preserve"> p</w:t>
      </w:r>
      <w:r>
        <w:t xml:space="preserve">ublicações científicas, sendo 11 na plataforma PUBMED/MEDLINE, eleg</w:t>
      </w:r>
      <w:r>
        <w:t xml:space="preserve">íveis aos obje</w:t>
      </w:r>
      <w:r>
        <w:t xml:space="preserve">tivos do estudo.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De acordo com o Fichamento (Quadro 1), pode-se perceber que entre </w:t>
      </w:r>
      <w:r>
        <w:t xml:space="preserve">as tecnologias e avanços na endodontia, cabe destaque: 2</w:t>
      </w:r>
      <w:r>
        <w:t xml:space="preserve"> </w:t>
      </w:r>
      <w:r>
        <w:t xml:space="preserve">publicações sobre biocerâmicos; 2 de</w:t>
      </w:r>
      <w:r>
        <w:t xml:space="preserve"> microscopia óptca associada uma a laser PDT e uma a cirurgia paraendodônica; 1 de acesso minimamente invasivo, 1 de impressão 3D, 1 sobre robótica, 1 sobre inteligência artificial e automatização. Os demais artigos fichados nesse estudo apresentam perspec</w:t>
      </w:r>
      <w:r>
        <w:t xml:space="preserve">t</w:t>
      </w:r>
      <w:r>
        <w:t xml:space="preserve">ivas futuras e interdisciplinaridade em endodontia</w:t>
      </w:r>
      <w:r>
        <w:t xml:space="preserve">. Em todos os artigos lidos integralmente o uso</w:t>
      </w:r>
      <w:r>
        <w:t xml:space="preserve"> de novas tecnologias foi positivo para o avanço da endodontia</w:t>
      </w:r>
      <w:r>
        <w:t xml:space="preserve">.</w:t>
      </w:r>
      <w:r/>
    </w:p>
    <w:p>
      <w:pPr>
        <w:pBdr/>
        <w:spacing w:line="360" w:lineRule="auto"/>
        <w:ind w:firstLine="709"/>
        <w:jc w:val="both"/>
        <w:rPr/>
      </w:pPr>
      <w:r>
        <w:t xml:space="preserve">Entre os tipos de estudos, as principais publicações existentes são do tipo: revisã</w:t>
      </w:r>
      <w:r>
        <w:t xml:space="preserve">o de literatura e estudo exploratório/revisão</w:t>
      </w:r>
      <w:r>
        <w:t xml:space="preserve">, </w:t>
      </w:r>
      <w:r>
        <w:t xml:space="preserve">publicadas entre os anos de 2015 e 2020</w:t>
      </w:r>
      <w:r>
        <w:t xml:space="preserve">. Vale ressaltar que o peri</w:t>
      </w:r>
      <w:r>
        <w:t xml:space="preserve">ódico “</w:t>
      </w:r>
      <w:r>
        <w:t xml:space="preserve">Journal of </w:t>
      </w:r>
      <w:r>
        <w:t xml:space="preserve"> </w:t>
      </w:r>
      <w:r>
        <w:t xml:space="preserve">Endodontics</w:t>
      </w:r>
      <w:r>
        <w:t xml:space="preserve">” é o que apresenta</w:t>
      </w:r>
      <w:r>
        <w:t xml:space="preserve"> publicações sobre o tema. O país com mais autores com esse tipo de abordagem de pesquisa foi: Estados Unidos da América. </w:t>
      </w:r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rPr/>
      </w:pPr>
      <w:r/>
      <w:r/>
    </w:p>
    <w:p>
      <w:pPr>
        <w:pBdr/>
        <w:spacing/>
        <w:ind/>
        <w:rPr/>
        <w:sectPr>
          <w:headerReference w:type="default" r:id="rId11"/>
          <w:footnotePr/>
          <w:endnotePr/>
          <w:type w:val="nextPage"/>
          <w:pgSz w:h="16838" w:orient="portrait" w:w="11906"/>
          <w:pgMar w:top="1701" w:right="1134" w:bottom="1134" w:left="1701" w:header="709" w:footer="709" w:gutter="0"/>
          <w:pgNumType w:start="7"/>
          <w:cols w:num="1" w:sep="0" w:space="720" w:equalWidth="1"/>
        </w:sectPr>
      </w:pPr>
      <w:r/>
      <w:r/>
    </w:p>
    <w:p>
      <w:pPr>
        <w:pBdr/>
        <w:spacing/>
        <w:ind/>
        <w:jc w:val="center"/>
        <w:rPr/>
      </w:pPr>
      <w:r>
        <w:t xml:space="preserve">     Quadro 1 – Estudos sobre </w:t>
      </w:r>
      <w:r>
        <w:t xml:space="preserve">Avanços Recentes na Endodontia: Abordagens Clínicas e Tecnológicas no Tratamento Endodôntico</w:t>
      </w:r>
      <w:r/>
    </w:p>
    <w:tbl>
      <w:tblPr>
        <w:tblStyle w:val="817"/>
        <w:tblInd w:w="0" w:type="dxa"/>
        <w:tblW w:w="138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1553"/>
        <w:gridCol w:w="2268"/>
        <w:gridCol w:w="2267"/>
        <w:gridCol w:w="3685"/>
        <w:gridCol w:w="4114"/>
      </w:tblGrid>
      <w:tr>
        <w:trPr>
          <w:trHeight w:val="569"/>
        </w:trPr>
        <w:tc>
          <w:tcPr>
            <w:tcBorders/>
            <w:tcW w:w="1553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AUTOR/ANO/</w:t>
            </w:r>
            <w:r>
              <w:rPr>
                <w:b/>
                <w:sz w:val="20"/>
                <w:szCs w:val="20"/>
              </w:rPr>
            </w:r>
          </w:p>
          <w:p>
            <w:pPr>
              <w:pBdr/>
              <w:spacing/>
              <w:ind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PERIÓDICO</w:t>
            </w:r>
            <w:r>
              <w:rPr>
                <w:b/>
                <w:sz w:val="20"/>
                <w:szCs w:val="20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OBJETIVO</w:t>
            </w:r>
            <w:r>
              <w:rPr>
                <w:b/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TIPO DE ESTUDO</w:t>
            </w:r>
            <w:r>
              <w:rPr>
                <w:b/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INOVAÇÃO TECNOLÓGICA</w:t>
            </w:r>
            <w:r>
              <w:rPr>
                <w:b/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RESULTADOS</w:t>
            </w:r>
            <w:r>
              <w:rPr>
                <w:b/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/>
            <w:bookmarkStart w:id="6" w:name="_heading=h.1ksv4uv"/>
            <w:r/>
            <w:bookmarkEnd w:id="6"/>
            <w:r>
              <w:rPr>
                <w:i/>
                <w:sz w:val="20"/>
                <w:szCs w:val="20"/>
                <w:lang w:val="en-US"/>
              </w:rPr>
              <w:t xml:space="preserve">Peters, O. A. (2015). Minimally invasive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. 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41(10), 1519-1526.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Esta revisão aborda dados clínicos e laboratoriais para fornecer uma visão geral sobre acesso minimamente invasivo.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Revisão de literatura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Acesso minimamente invasivo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</w:t>
            </w:r>
            <w:r>
              <w:rPr>
                <w:sz w:val="20"/>
                <w:szCs w:val="20"/>
              </w:rPr>
              <w:t xml:space="preserve">emonstrou que a técnica de preparo minimamente invasivo reduz a perda de estrutura dentária e melhora a selagem do sistema de canais radiculares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/>
            <w:bookmarkStart w:id="7" w:name="_heading=h.44sinio"/>
            <w:r/>
            <w:bookmarkEnd w:id="7"/>
            <w:r>
              <w:rPr>
                <w:i/>
                <w:sz w:val="20"/>
                <w:szCs w:val="20"/>
                <w:lang w:val="en-US"/>
              </w:rPr>
              <w:t xml:space="preserve">Schwartz, R. S. (2017). Materials for </w:t>
            </w:r>
            <w:r>
              <w:rPr>
                <w:i/>
                <w:sz w:val="20"/>
                <w:szCs w:val="20"/>
                <w:lang w:val="en-US"/>
              </w:rPr>
              <w:t xml:space="preserve">obturation</w:t>
            </w:r>
            <w:r>
              <w:rPr>
                <w:i/>
                <w:sz w:val="20"/>
                <w:szCs w:val="20"/>
                <w:lang w:val="en-US"/>
              </w:rPr>
              <w:t xml:space="preserve">. 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43(10), 1631-1638.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O objetivo deste estudo foi avaliar a influência da ativação ultrassônica (AU) do AH Plus para melhorar o preenchimento do canal e do istmo, e analisar o efeito antimicrobiano contra </w:t>
            </w:r>
            <w:r>
              <w:rPr>
                <w:i/>
                <w:iCs/>
                <w:sz w:val="20"/>
                <w:szCs w:val="20"/>
                <w:shd w:val="clear" w:color="auto" w:fill="ffffff"/>
              </w:rPr>
              <w:t xml:space="preserve">Enterococcus faecalis</w:t>
            </w:r>
            <w:r>
              <w:rPr>
                <w:sz w:val="20"/>
                <w:szCs w:val="20"/>
                <w:shd w:val="clear" w:color="auto" w:fill="ffffff"/>
              </w:rPr>
              <w:t xml:space="preserve"> dentro dos túbulos dentinários.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Ensaio clínico </w:t>
            </w:r>
            <w:r>
              <w:rPr>
                <w:i/>
                <w:sz w:val="20"/>
                <w:szCs w:val="20"/>
              </w:rPr>
              <w:t xml:space="preserve">in vitro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Biocerâmicos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</w:t>
            </w:r>
            <w:r>
              <w:rPr>
                <w:sz w:val="20"/>
                <w:szCs w:val="20"/>
              </w:rPr>
              <w:t xml:space="preserve">omparou a eficácia da gutapercha e da resina epóxi como materiais de obturação e encontrou resultados semelhantes em termos de selagem e resistência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>
              <w:rPr>
                <w:i/>
                <w:sz w:val="20"/>
                <w:szCs w:val="20"/>
                <w:lang w:val="en-US"/>
              </w:rPr>
              <w:t xml:space="preserve">Kim, S. (2019). Biocompatible materials in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. 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45(10), 1911-1918.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 xml:space="preserve">O objetivo deste estudo foi avaliar o efeito de três selantes à base de silicato de c</w:t>
            </w:r>
            <w:r>
              <w:rPr>
                <w:sz w:val="18"/>
                <w:szCs w:val="18"/>
                <w:shd w:val="clear" w:color="auto" w:fill="ffffff"/>
              </w:rPr>
              <w:t xml:space="preserve">álcio (EndoSeal MTA, Nano-ceramic Sealer e Wellroot ST) e dois selantes à base de resina epóxi (AH-Plus, AD Seal) em vários aspectos, como viabilidade celular, resposta inflamatória e potencial osteogênico, de células-tronco do ligamento periodontal humano</w:t>
            </w:r>
            <w:r>
              <w:rPr>
                <w:sz w:val="18"/>
                <w:szCs w:val="18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Ensaio clínico </w:t>
            </w:r>
            <w:r>
              <w:rPr>
                <w:i/>
                <w:sz w:val="20"/>
                <w:szCs w:val="20"/>
              </w:rPr>
              <w:t xml:space="preserve">in vitro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Style w:val="782"/>
              <w:pBdr/>
              <w:shd w:val="clear" w:color="auto" w:fill="ffffff"/>
              <w:spacing/>
              <w:ind/>
              <w:jc w:val="center"/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pPr>
            <w:r/>
            <w:bookmarkStart w:id="8" w:name="_Toc193276951"/>
            <w:r>
              <w:rPr>
                <w:b w:val="0"/>
                <w:bCs/>
                <w:iCs/>
                <w:color w:val="000000"/>
                <w:sz w:val="20"/>
                <w:szCs w:val="20"/>
              </w:rPr>
              <w:t xml:space="preserve">Biocerâmicos</w:t>
            </w:r>
            <w:bookmarkEnd w:id="8"/>
            <w:r/>
            <w:r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r>
          </w:p>
          <w:p>
            <w:pPr>
              <w:pStyle w:val="782"/>
              <w:pBdr/>
              <w:shd w:val="clear" w:color="auto" w:fill="ffffff"/>
              <w:spacing/>
              <w:ind/>
              <w:jc w:val="both"/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r>
          </w:p>
          <w:p>
            <w:pPr>
              <w:pStyle w:val="782"/>
              <w:pBdr/>
              <w:shd w:val="clear" w:color="auto" w:fill="ffffff"/>
              <w:spacing/>
              <w:ind/>
              <w:jc w:val="both"/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b w:val="0"/>
                <w:i/>
                <w:iCs/>
                <w:color w:val="000000"/>
                <w:sz w:val="20"/>
                <w:szCs w:val="20"/>
              </w:rPr>
            </w:r>
          </w:p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</w:t>
            </w:r>
            <w:r>
              <w:rPr>
                <w:sz w:val="20"/>
                <w:szCs w:val="20"/>
              </w:rPr>
              <w:t xml:space="preserve">emonstrou que o uso de materiais biocompatíveis é fundamental para evitar reações adversas e melhorar a qualidade de vida dos pacientes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>
              <w:rPr>
                <w:i/>
                <w:sz w:val="20"/>
                <w:szCs w:val="20"/>
                <w:lang w:val="en-US"/>
              </w:rPr>
              <w:t xml:space="preserve">Gutknecht, N. (2017). Microscopic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. 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43(5), 751-758.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 xml:space="preserve">O objetivo deste estudo foi comparar a eficácia de </w:t>
            </w:r>
            <w:r>
              <w:fldChar w:fldCharType="begin"/>
            </w:r>
            <w:r>
              <w:instrText xml:space="preserve"> HYPERLINK "https://www.sciencedirect.com/topics/medicine-and-dentistry/silver-nanoparticle" \o "Saiba mais sobre nanopartículas de prata nas páginas de tópicos geradas por IA do ScienceDirect" </w:instrText>
            </w:r>
            <w:r>
              <w:fldChar w:fldCharType="separate"/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t xml:space="preserve">nanopartículas de prata </w:t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fldChar w:fldCharType="end"/>
            </w:r>
            <w:r>
              <w:rPr>
                <w:color w:val="1f1f1f"/>
                <w:sz w:val="20"/>
                <w:szCs w:val="20"/>
              </w:rPr>
              <w:t xml:space="preserve">(AgNPs), um laser de diodo de 810 nm (DL), </w:t>
            </w:r>
            <w:r>
              <w:fldChar w:fldCharType="begin"/>
            </w:r>
            <w:r>
              <w:instrText xml:space="preserve"> HYPERLINK "https://www.sciencedirect.com/topics/medicine-and-dentistry/photodynamic-therapy" \o "Saiba mais sobre terapia fotodinâmica nas páginas de tópicos geradas por IA do ScienceDirect" </w:instrText>
            </w:r>
            <w:r>
              <w:fldChar w:fldCharType="separate"/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t xml:space="preserve">terapia fotodinâmica convencional </w:t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fldChar w:fldCharType="end"/>
            </w:r>
            <w:r>
              <w:rPr>
                <w:color w:val="1f1f1f"/>
                <w:sz w:val="20"/>
                <w:szCs w:val="20"/>
              </w:rPr>
              <w:t xml:space="preserve">(PDT) com o uso do </w:t>
            </w:r>
            <w:r>
              <w:fldChar w:fldCharType="begin"/>
            </w:r>
            <w:r>
              <w:instrText xml:space="preserve"> HYPERLINK "https://www.sciencedirect.com/topics/medicine-and-dentistry/photosensitizer" \o "Saiba mais sobre fotossensibilizador nas páginas de tópicos geradas por IA do ScienceDirect" </w:instrText>
            </w:r>
            <w:r>
              <w:fldChar w:fldCharType="separate"/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t xml:space="preserve">fotossensibilizador </w:t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fldChar w:fldCharType="end"/>
            </w:r>
            <w:hyperlink r:id="rId14" w:tooltip="Learn more about indocyanine green from ScienceDirect's AI-generated Topic Pages" w:history="1">
              <w:r>
                <w:rPr>
                  <w:rStyle w:val="802"/>
                  <w:color w:val="1f1f1f"/>
                  <w:sz w:val="20"/>
                  <w:szCs w:val="20"/>
                  <w:u w:val="none"/>
                </w:rPr>
                <w:t xml:space="preserve">verde de indocianina</w:t>
              </w:r>
            </w:hyperlink>
            <w:r>
              <w:rPr>
                <w:color w:val="1f1f1f"/>
                <w:sz w:val="20"/>
                <w:szCs w:val="20"/>
              </w:rPr>
              <w:t xml:space="preserve"> (ICG) e PDT modificada com o uso de AgNPs para a desinfecção de canais radiculares inoculados com </w:t>
            </w:r>
            <w:r>
              <w:fldChar w:fldCharType="begin"/>
            </w:r>
            <w:r>
              <w:instrText xml:space="preserve"> HYPERLINK "https://www.sciencedirect.com/topics/medicine-and-dentistry/enterococcus-faecalis" \o "Saiba mais sobre Enterococcus faecalis nas páginas de tópicos geradas por IA do ScienceDirect" </w:instrText>
            </w:r>
            <w:r>
              <w:fldChar w:fldCharType="separate"/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t xml:space="preserve">Enterococo faecalis</w:t>
            </w:r>
            <w:r>
              <w:rPr>
                <w:rStyle w:val="802"/>
                <w:color w:val="1f1f1f"/>
                <w:sz w:val="20"/>
                <w:szCs w:val="20"/>
                <w:u w:val="none"/>
              </w:rPr>
              <w:fldChar w:fldCharType="end"/>
            </w:r>
            <w:r>
              <w:rPr>
                <w:color w:val="1f1f1f"/>
                <w:sz w:val="20"/>
                <w:szCs w:val="20"/>
              </w:rPr>
              <w:t xml:space="preserve"> 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Ensaio clínico </w:t>
            </w:r>
            <w:r>
              <w:rPr>
                <w:i/>
                <w:sz w:val="20"/>
                <w:szCs w:val="20"/>
              </w:rPr>
              <w:t xml:space="preserve">in vitro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Laserterapia PDT + microscopia óptica 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 xml:space="preserve">A PDT com ICG, um laser de diodo de 810 nm e AgNPs tem o potencial de ser usada como um complemento para a desinfecção do sistema de canal radicular.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/>
            <w:bookmarkStart w:id="9" w:name="_heading=h.2jxsxqh"/>
            <w:r/>
            <w:bookmarkEnd w:id="9"/>
            <w:r>
              <w:rPr>
                <w:i/>
                <w:sz w:val="20"/>
                <w:szCs w:val="20"/>
                <w:lang w:val="en-US"/>
              </w:rPr>
              <w:t xml:space="preserve">Kishen</w:t>
            </w:r>
            <w:r>
              <w:rPr>
                <w:i/>
                <w:sz w:val="20"/>
                <w:szCs w:val="20"/>
                <w:lang w:val="en-US"/>
              </w:rPr>
              <w:t xml:space="preserve">, A. (2020). Clinical outcomes of microscopic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. 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46(10), 1431-1438.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color w:val="212121"/>
                <w:sz w:val="20"/>
                <w:szCs w:val="20"/>
                <w:shd w:val="clear" w:color="auto" w:fill="ffffff"/>
              </w:rPr>
              <w:t xml:space="preserve">Investigar os resultados clínicos da microcirurgia endodôntica em casos complicados que apresentam lesões grandes ou penetrantes.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Estudo observacional retrospectivo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Microscopia óptica + cirurgia paraendodôntica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</w:t>
            </w:r>
            <w:r>
              <w:rPr>
                <w:sz w:val="20"/>
                <w:szCs w:val="20"/>
              </w:rPr>
              <w:t xml:space="preserve">ostrou que o uso de microscopia operatória reduz o tempo de tratamento e melhora os resultados clínicos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3025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/>
            <w:bookmarkStart w:id="10" w:name="_heading=h.z337ya"/>
            <w:r/>
            <w:bookmarkEnd w:id="10"/>
            <w:r>
              <w:rPr>
                <w:i/>
                <w:sz w:val="20"/>
                <w:szCs w:val="20"/>
                <w:lang w:val="en-US"/>
              </w:rPr>
              <w:t xml:space="preserve">Kim, S. (2020). Artificial intelligence in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. 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46(10), 1431-1438.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 estudo destaca o potencial da intelig</w:t>
            </w:r>
            <w:r>
              <w:rPr>
                <w:sz w:val="20"/>
                <w:szCs w:val="20"/>
              </w:rPr>
              <w:t xml:space="preserve">ência artificial e do aprendizado de máquina para aprimorar o diagnóstico e o tratamento endodôntico. Essas tecnologias podem ajudar na identificação mais precisa de patologias, melhorar a tomada de decisão clínica e otimizar os procedimentos endodônticos.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Estudo exploratório/revisão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</w:t>
            </w:r>
            <w:r>
              <w:rPr>
                <w:sz w:val="20"/>
                <w:szCs w:val="20"/>
              </w:rPr>
              <w:t xml:space="preserve">nteliência artificial e máquinas de automação 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</w:t>
            </w:r>
            <w:r>
              <w:rPr>
                <w:sz w:val="20"/>
                <w:szCs w:val="20"/>
              </w:rPr>
              <w:t xml:space="preserve">estaca o potencial da inteligência artificial e aprendizado de máquina para melhorar o diagnóstico e tratamento endodôntico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sz w:val="20"/>
                <w:szCs w:val="20"/>
                <w:lang w:val="en-US"/>
              </w:rPr>
            </w:pPr>
            <w:r/>
            <w:bookmarkStart w:id="11" w:name="_heading=h.3j2qqm3"/>
            <w:r/>
            <w:bookmarkEnd w:id="11"/>
            <w:r>
              <w:rPr>
                <w:sz w:val="20"/>
                <w:szCs w:val="20"/>
                <w:lang w:val="en-US"/>
              </w:rPr>
              <w:t xml:space="preserve">Patel, S. (2020). 3D printing in </w:t>
            </w:r>
            <w:r>
              <w:rPr>
                <w:sz w:val="20"/>
                <w:szCs w:val="20"/>
                <w:lang w:val="en-US"/>
              </w:rPr>
              <w:t xml:space="preserve">endodontics</w:t>
            </w:r>
            <w:r>
              <w:rPr>
                <w:sz w:val="20"/>
                <w:szCs w:val="20"/>
                <w:lang w:val="en-US"/>
              </w:rPr>
              <w:t xml:space="preserve">. Journal of </w:t>
            </w:r>
            <w:r>
              <w:rPr>
                <w:sz w:val="20"/>
                <w:szCs w:val="20"/>
                <w:lang w:val="en-US"/>
              </w:rPr>
              <w:t xml:space="preserve">Endodontics</w:t>
            </w:r>
            <w:r>
              <w:rPr>
                <w:sz w:val="20"/>
                <w:szCs w:val="20"/>
                <w:lang w:val="en-US"/>
              </w:rPr>
              <w:t xml:space="preserve">, 46(5), 831-838.</w:t>
            </w: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pesquisa explora o uso da impressão 3D na criação de modelos personalizados de canais radiculares. Essa tecnologia pode auxiliar no planejamento e na simulação de tratamentos, permitindo uma abordagem mais precisa e personalizada para cada paciente.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Estudo experimental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Impressão 3D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</w:t>
            </w:r>
            <w:r>
              <w:rPr>
                <w:sz w:val="20"/>
                <w:szCs w:val="20"/>
              </w:rPr>
              <w:t xml:space="preserve">xplora o uso de impressão 3D para criar modelos personalizados de canais radiculares</w:t>
            </w:r>
            <w:r>
              <w:rPr>
                <w:sz w:val="20"/>
                <w:szCs w:val="20"/>
              </w:rPr>
              <w:t xml:space="preserve">, através de testes práticos para avaliar a viabilidade e os benefícios dessa tacnologia no contexto endodôntico.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  <w:lang w:val="en-US"/>
              </w:rPr>
            </w:pPr>
            <w:r/>
            <w:bookmarkStart w:id="12" w:name="_heading=h.1y810tw"/>
            <w:r/>
            <w:bookmarkEnd w:id="12"/>
            <w:r>
              <w:rPr>
                <w:i/>
                <w:sz w:val="20"/>
                <w:szCs w:val="20"/>
              </w:rPr>
              <w:t xml:space="preserve">Gutknecht, N. (2020). Robótica em endodontia. </w:t>
            </w:r>
            <w:r>
              <w:rPr>
                <w:i/>
                <w:sz w:val="20"/>
                <w:szCs w:val="20"/>
                <w:lang w:val="en-US"/>
              </w:rPr>
              <w:t xml:space="preserve">Journal of </w:t>
            </w:r>
            <w:r>
              <w:rPr>
                <w:i/>
                <w:sz w:val="20"/>
                <w:szCs w:val="20"/>
                <w:lang w:val="en-US"/>
              </w:rPr>
              <w:t xml:space="preserve">Endodontics</w:t>
            </w:r>
            <w:r>
              <w:rPr>
                <w:i/>
                <w:sz w:val="20"/>
                <w:szCs w:val="20"/>
                <w:lang w:val="en-US"/>
              </w:rPr>
              <w:t xml:space="preserve">, 46(5), 751-758.</w:t>
            </w:r>
            <w:r>
              <w:rPr>
                <w:i/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</w:t>
            </w:r>
            <w:r>
              <w:rPr>
                <w:sz w:val="20"/>
                <w:szCs w:val="20"/>
              </w:rPr>
              <w:t xml:space="preserve">esenvolve um sistema robótico para auxiliar o tratamento endodôntico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Estudo experimental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Robótica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 uso da robótica na endodontia pode aumentar a precisão dos procedimentos, reduzir a fadiga do profissional e minimizar erros humanos, tornando os tratamentos mais eficientes e previsíveis.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416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</w:rPr>
            </w:pPr>
            <w:r/>
            <w:bookmarkStart w:id="13" w:name="_heading=h.4i7ojhp"/>
            <w:r/>
            <w:bookmarkEnd w:id="13"/>
            <w:r>
              <w:rPr>
                <w:i/>
                <w:sz w:val="20"/>
                <w:szCs w:val="20"/>
              </w:rPr>
              <w:t xml:space="preserve">Kishen, A. (2020). Automatização em </w:t>
            </w:r>
            <w:r>
              <w:rPr>
                <w:i/>
                <w:sz w:val="20"/>
                <w:szCs w:val="20"/>
              </w:rPr>
              <w:t xml:space="preserve">endodontia. Journal of Endodontics, 46(10), 1431-1438.</w:t>
            </w:r>
            <w:r>
              <w:rPr>
                <w:i/>
                <w:sz w:val="20"/>
                <w:szCs w:val="20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</w:t>
            </w:r>
            <w:r>
              <w:rPr>
                <w:sz w:val="20"/>
                <w:szCs w:val="20"/>
              </w:rPr>
              <w:t xml:space="preserve">xplora a automatização de processos em endodontia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Estudo exploratório/revisão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Automati</w:t>
            </w:r>
            <w:r>
              <w:rPr>
                <w:sz w:val="20"/>
                <w:szCs w:val="20"/>
              </w:rPr>
              <w:t xml:space="preserve">z</w:t>
            </w:r>
            <w:r>
              <w:rPr>
                <w:sz w:val="20"/>
                <w:szCs w:val="20"/>
              </w:rPr>
              <w:t xml:space="preserve">ação</w:t>
            </w:r>
            <w:r>
              <w:rPr>
                <w:sz w:val="20"/>
                <w:szCs w:val="20"/>
              </w:rPr>
            </w:r>
          </w:p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automatização de processos endodônticos pode melhorar a eficiência dos tratamentos, reduzir o tempo de trabalho clínico e aumentar a </w:t>
            </w:r>
            <w:r>
              <w:rPr>
                <w:sz w:val="20"/>
                <w:szCs w:val="20"/>
              </w:rPr>
              <w:t xml:space="preserve">padronização dos procedimentos, tornando a endodontia mais acessível e eficaz.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i/>
                <w:sz w:val="20"/>
                <w:szCs w:val="20"/>
              </w:rPr>
            </w:pPr>
            <w:r/>
            <w:bookmarkStart w:id="14" w:name="_heading=h.2xcytpi"/>
            <w:r/>
            <w:bookmarkEnd w:id="14"/>
            <w:r>
              <w:rPr>
                <w:i/>
                <w:sz w:val="20"/>
                <w:szCs w:val="20"/>
              </w:rPr>
              <w:t xml:space="preserve">Carr, G. B. (2020). Desafios e oportunidades para a endodontia no futuro. Journal of Endodontics, 46(10), 1431-1438.</w:t>
            </w:r>
            <w:r>
              <w:rPr>
                <w:i/>
                <w:sz w:val="20"/>
                <w:szCs w:val="20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 estudo discute os desafios e oportunidades para o futuro da endodontia, abordando aspectos como avanços tecnológicos, mudanças nos materiais e técnicas, além da necessidade de novas abordagens para otimizar os tratamentos endodônticos.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Revisão de literatura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Perspectivas futuras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endodontia enfrenta desafios relacionados à evolução das técnicas e materiais, mas há grandes oportunidades no avanço da tecnologia, inteligência artificial e automatização para melhorar a eficiência e a previsibilidade dos tratamentos.</w:t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Borders/>
            <w:tcW w:w="1553" w:type="dxa"/>
            <w:vAlign w:val="center"/>
            <w:textDirection w:val="lrTb"/>
            <w:noWrap w:val="false"/>
          </w:tcPr>
          <w:p>
            <w:pPr>
              <w:pBdr/>
              <w:spacing/>
              <w:ind w:right="113" w:left="113"/>
              <w:jc w:val="center"/>
              <w:rPr>
                <w:sz w:val="20"/>
                <w:szCs w:val="20"/>
                <w:lang w:val="en-US"/>
              </w:rPr>
            </w:pPr>
            <w:r/>
            <w:bookmarkStart w:id="15" w:name="_heading=h.1ci93xb"/>
            <w:r/>
            <w:bookmarkEnd w:id="15"/>
            <w:r>
              <w:rPr>
                <w:sz w:val="20"/>
                <w:szCs w:val="20"/>
              </w:rPr>
              <w:t xml:space="preserve">Gutknecht, N. (2020). Colaboração interdisciplinar em endodontia. </w:t>
            </w:r>
            <w:r>
              <w:rPr>
                <w:sz w:val="20"/>
                <w:szCs w:val="20"/>
                <w:lang w:val="en-US"/>
              </w:rPr>
              <w:t xml:space="preserve">Journal of </w:t>
            </w:r>
            <w:r>
              <w:rPr>
                <w:sz w:val="20"/>
                <w:szCs w:val="20"/>
                <w:lang w:val="en-US"/>
              </w:rPr>
              <w:t xml:space="preserve">Endodontics</w:t>
            </w:r>
            <w:r>
              <w:rPr>
                <w:sz w:val="20"/>
                <w:szCs w:val="20"/>
                <w:lang w:val="en-US"/>
              </w:rPr>
              <w:t xml:space="preserve">, 46(5), 751-758.</w:t>
            </w: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Borders/>
            <w:tcW w:w="226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 estudo destaca a importância da colaboração interdisciplinar para o avanço da endodontia, explorando como diferentes áreas da odontologia e outras disciplinas podem contribuir para melhorias no diagnóstico, tratamento e inovação tecnológica.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226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Revisão de literatura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/>
            <w:bookmarkStart w:id="16" w:name="_heading=h.2et92p0"/>
            <w:r/>
            <w:bookmarkEnd w:id="16"/>
            <w:r>
              <w:rPr>
                <w:sz w:val="20"/>
                <w:szCs w:val="20"/>
              </w:rPr>
              <w:t xml:space="preserve">Inerdisciplinaridade com outras áreas</w:t>
            </w:r>
            <w:r>
              <w:rPr>
                <w:sz w:val="20"/>
                <w:szCs w:val="20"/>
              </w:rPr>
            </w:r>
          </w:p>
        </w:tc>
        <w:tc>
          <w:tcPr>
            <w:tcBorders/>
            <w:tcW w:w="411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colaboração entre diferentes áreas da odontologia, bem como com engenheiros, cientistas de materiais e especialistas em tecnologia, é essencial para promover avanços na endodontia, tornando os tratamentos mais eficazes e inovadores.</w:t>
            </w:r>
            <w:r>
              <w:rPr>
                <w:sz w:val="20"/>
                <w:szCs w:val="20"/>
              </w:rPr>
            </w:r>
          </w:p>
        </w:tc>
      </w:tr>
    </w:tbl>
    <w:p>
      <w:pPr>
        <w:pBdr/>
        <w:spacing/>
        <w:ind/>
        <w:rPr/>
      </w:pPr>
      <w:r/>
      <w:bookmarkStart w:id="17" w:name="_heading=h.3whwml4"/>
      <w:r/>
      <w:bookmarkEnd w:id="17"/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  <w:sectPr>
          <w:footnotePr/>
          <w:endnotePr/>
          <w:type w:val="nextPage"/>
          <w:pgSz w:h="11906" w:orient="landscape" w:w="16838"/>
          <w:pgMar w:top="1701" w:right="1701" w:bottom="1134" w:left="1134" w:header="709" w:footer="709" w:gutter="0"/>
          <w:cols w:num="1" w:sep="0" w:space="720" w:equalWidth="1"/>
        </w:sectPr>
      </w:pPr>
      <w:r/>
      <w:r/>
    </w:p>
    <w:p>
      <w:pPr>
        <w:pStyle w:val="779"/>
        <w:pBdr/>
        <w:spacing/>
        <w:ind/>
        <w:rPr>
          <w:sz w:val="24"/>
          <w:szCs w:val="24"/>
        </w:rPr>
      </w:pPr>
      <w:r/>
      <w:bookmarkStart w:id="18" w:name="_Toc193276952"/>
      <w:r>
        <w:rPr>
          <w:sz w:val="24"/>
          <w:szCs w:val="24"/>
        </w:rPr>
        <w:t xml:space="preserve">5 DISCUSSÃO</w:t>
      </w:r>
      <w:bookmarkEnd w:id="18"/>
      <w:r/>
      <w:r>
        <w:rPr>
          <w:sz w:val="24"/>
          <w:szCs w:val="24"/>
        </w:rPr>
      </w:r>
    </w:p>
    <w:p>
      <w:pPr>
        <w:pBdr/>
        <w:spacing w:line="360" w:lineRule="auto"/>
        <w:ind w:firstLine="709"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           Os avanços recentes na endodontia têm revolucion</w:t>
      </w:r>
      <w:r>
        <w:t xml:space="preserve">ado a prática clínica, oferecendo tratamentos mais eficazes, seguros e confortáveis para os pacientes. A combinação de técnicas minimamente invasivas, materiais biocompatíveis e tecnologias avançadas tem melhorado significativamente os resultados clínicos.</w:t>
      </w:r>
      <w:r/>
    </w:p>
    <w:p>
      <w:pPr>
        <w:pBdr/>
        <w:spacing w:line="360" w:lineRule="auto"/>
        <w:ind/>
        <w:jc w:val="both"/>
        <w:rPr/>
      </w:pPr>
      <w:r>
        <w:t xml:space="preserve">           Os principais avanços clínicos, como o preparo minimamente invasivo, permitem uma rem</w:t>
      </w:r>
      <w:r>
        <w:t xml:space="preserve">oção mais eficiente das estruturas patológicas, reduzindo o risco de danos ao dente e ao tecido periapical. Além disso, o uso de materiais biocompatíveis, como a gutapercha e a resina epóxi, garante uma selagem mais eficaz do sistema de canais radiculares.</w:t>
      </w:r>
      <w:r/>
    </w:p>
    <w:p>
      <w:pPr>
        <w:pBdr/>
        <w:spacing w:line="360" w:lineRule="auto"/>
        <w:ind/>
        <w:jc w:val="both"/>
        <w:rPr/>
      </w:pPr>
      <w:r>
        <w:t xml:space="preserve">          As tecnologias avançadas, como a microscopia operatória, a endodontia computadorizada e o laser, têm melhorado a precisão e a eficácia do tratamento endodôntico. A microscopia opera</w:t>
      </w:r>
      <w:r>
        <w:t xml:space="preserve">tória permite uma visualização detalhada do sistema de canais radiculares, enquanto a endodontia computadorizada facilita a navegação e a análise de imagem 3D. O laser, por sua vez, é eficaz na eliminação de bacterias e na preparação de canais radiculares.</w:t>
      </w:r>
      <w:r/>
    </w:p>
    <w:p>
      <w:pPr>
        <w:pBdr/>
        <w:spacing w:line="360" w:lineRule="auto"/>
        <w:ind/>
        <w:jc w:val="both"/>
        <w:rPr/>
      </w:pPr>
      <w:r>
        <w:t xml:space="preserve">          Contudo</w:t>
      </w:r>
      <w:r>
        <w:t xml:space="preserve">, é fundamental lembrar que a endodontia é uma especialidade em constante evolução e que a pesquisa contínua é necessária para desenvolver novas té</w:t>
      </w:r>
      <w:r>
        <w:t xml:space="preserve">cnicas e tecnologias. Ademais</w:t>
      </w:r>
      <w:r>
        <w:t xml:space="preserve">, a colaboração interdisciplinar entre profissionais da saúde é fundamental para garantir a qualidade e eficácia do tratamento.</w:t>
      </w:r>
      <w:r/>
    </w:p>
    <w:p>
      <w:pPr>
        <w:pBdr/>
        <w:spacing w:line="360" w:lineRule="auto"/>
        <w:ind/>
        <w:jc w:val="both"/>
        <w:rPr/>
      </w:pPr>
      <w:r>
        <w:t xml:space="preserve">           No entanto, apesar dos avanços, ainda existem desafios a serem superados. A complexidade da anatomia radicular, a resistência bacteriana e a necessidade de técnicas mais eficazes pa</w:t>
      </w:r>
      <w:r>
        <w:t xml:space="preserve">ra o tratamento de dentes com canais complexos são alguns dos principais desafios. Além disso, a falta de padronização em alguns procedimentos e a necessidade de treinamento contínuo para os profissionais da área são questões importantes a serem abordadas.</w:t>
      </w:r>
      <w:r>
        <w:t xml:space="preserve">     </w:t>
      </w:r>
      <w:r/>
    </w:p>
    <w:p>
      <w:pPr>
        <w:pBdr/>
        <w:spacing w:line="360" w:lineRule="auto"/>
        <w:ind/>
        <w:jc w:val="both"/>
        <w:rPr/>
      </w:pPr>
      <w:r>
        <w:t xml:space="preserve"> </w:t>
      </w:r>
      <w:r/>
    </w:p>
    <w:p>
      <w:pPr>
        <w:pBdr/>
        <w:spacing w:line="360" w:lineRule="auto"/>
        <w:ind/>
        <w:jc w:val="both"/>
        <w:rPr>
          <w:b/>
        </w:rPr>
      </w:pPr>
      <w:r>
        <w:rPr>
          <w:b/>
        </w:rPr>
        <w:t xml:space="preserve">5.1 </w:t>
      </w:r>
      <w:r>
        <w:rPr>
          <w:b/>
        </w:rPr>
        <w:t xml:space="preserve">Limitações do Estudo</w:t>
      </w:r>
      <w:r>
        <w:rPr>
          <w:b/>
        </w:rPr>
      </w:r>
    </w:p>
    <w:p>
      <w:pPr>
        <w:pBdr/>
        <w:spacing w:line="360" w:lineRule="auto"/>
        <w:ind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- A revisão de literatura foi realizada em base de dados científica específica.</w:t>
      </w:r>
      <w:r/>
    </w:p>
    <w:p>
      <w:pPr>
        <w:pBdr/>
        <w:spacing w:line="360" w:lineRule="auto"/>
        <w:ind/>
        <w:jc w:val="both"/>
        <w:rPr/>
      </w:pPr>
      <w:r>
        <w:t xml:space="preserve">- A seleção de artigos foi baseada em critérios pré-estabelecidos.</w:t>
      </w:r>
      <w:r/>
    </w:p>
    <w:p>
      <w:pPr>
        <w:pBdr/>
        <w:spacing w:line="360" w:lineRule="auto"/>
        <w:ind/>
        <w:jc w:val="both"/>
        <w:rPr/>
      </w:pPr>
      <w:r>
        <w:t xml:space="preserve">- A análise dos resultados foi realizada por dois autores somente.</w:t>
      </w:r>
      <w:r>
        <w:t xml:space="preserve">   </w:t>
      </w:r>
      <w:r/>
    </w:p>
    <w:p>
      <w:pPr>
        <w:pBdr/>
        <w:spacing w:line="360" w:lineRule="auto"/>
        <w:ind/>
        <w:jc w:val="both"/>
        <w:rPr/>
      </w:pPr>
      <w:r>
        <w:t xml:space="preserve"> </w:t>
      </w:r>
      <w:r/>
    </w:p>
    <w:p>
      <w:pPr>
        <w:pBdr/>
        <w:spacing w:line="360" w:lineRule="auto"/>
        <w:ind/>
        <w:jc w:val="both"/>
        <w:rPr>
          <w:b/>
        </w:rPr>
      </w:pPr>
      <w:r>
        <w:rPr>
          <w:b/>
        </w:rPr>
        <w:t xml:space="preserve">5</w:t>
      </w:r>
      <w:r>
        <w:rPr>
          <w:b/>
        </w:rPr>
        <w:t xml:space="preserve">.</w:t>
      </w:r>
      <w:r>
        <w:rPr>
          <w:b/>
        </w:rPr>
        <w:t xml:space="preserve">2 </w:t>
      </w:r>
      <w:r>
        <w:rPr>
          <w:b/>
        </w:rPr>
        <w:t xml:space="preserve">Implicações Clínicas</w:t>
      </w:r>
      <w:r>
        <w:rPr>
          <w:b/>
        </w:rPr>
      </w:r>
    </w:p>
    <w:p>
      <w:pPr>
        <w:pBdr/>
        <w:spacing w:line="360" w:lineRule="auto"/>
        <w:ind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- Os avanços recentes na endodontia têm melhorado a eficácia e segurança do tratamento endodôntico.</w:t>
      </w:r>
      <w:r/>
    </w:p>
    <w:p>
      <w:pPr>
        <w:pBdr/>
        <w:spacing w:line="360" w:lineRule="auto"/>
        <w:ind/>
        <w:jc w:val="both"/>
        <w:rPr/>
      </w:pPr>
      <w:r>
        <w:t xml:space="preserve">- A combinação de técnicas minimamente invasivas e tecnologias avançadas é fundamental para obter resultados clínicos satisfatórios.</w:t>
      </w:r>
      <w:r/>
    </w:p>
    <w:p>
      <w:pPr>
        <w:pBdr/>
        <w:spacing w:line="360" w:lineRule="auto"/>
        <w:ind/>
        <w:jc w:val="both"/>
        <w:rPr/>
      </w:pPr>
      <w:r>
        <w:t xml:space="preserve">- A pesquisa contínua é necessária para desenvolver novas técnicas e tecnologias que melhorem ainda mais os resultados clínicos.</w:t>
      </w:r>
      <w:r>
        <w:t xml:space="preserve">       </w:t>
      </w:r>
      <w:r/>
    </w:p>
    <w:p>
      <w:pPr>
        <w:pBdr/>
        <w:spacing w:line="360" w:lineRule="auto"/>
        <w:ind/>
        <w:jc w:val="both"/>
        <w:rPr/>
      </w:pPr>
      <w:r>
        <w:t xml:space="preserve"> </w:t>
      </w:r>
      <w:r/>
    </w:p>
    <w:p>
      <w:pPr>
        <w:pBdr/>
        <w:spacing w:line="360" w:lineRule="auto"/>
        <w:ind/>
        <w:jc w:val="both"/>
        <w:rPr>
          <w:b/>
        </w:rPr>
      </w:pPr>
      <w:r>
        <w:rPr>
          <w:b/>
        </w:rPr>
        <w:t xml:space="preserve">5.3 Recomendações</w:t>
      </w:r>
      <w:r>
        <w:rPr>
          <w:b/>
        </w:rPr>
      </w:r>
    </w:p>
    <w:p>
      <w:pPr>
        <w:pBdr/>
        <w:spacing w:line="360" w:lineRule="auto"/>
        <w:ind w:firstLine="709"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- Os profissionais da área devem estar atualizados sobre os avanços recentes na endodontia.</w:t>
      </w:r>
      <w:r/>
    </w:p>
    <w:p>
      <w:pPr>
        <w:pBdr/>
        <w:spacing w:line="360" w:lineRule="auto"/>
        <w:ind/>
        <w:jc w:val="both"/>
        <w:rPr/>
      </w:pPr>
      <w:r>
        <w:t xml:space="preserve">- A padronização de procedimentos é fundamental para garantir a qualidade do tratamento.</w:t>
      </w:r>
      <w:r/>
    </w:p>
    <w:p>
      <w:pPr>
        <w:pBdr/>
        <w:spacing w:line="360" w:lineRule="auto"/>
        <w:ind/>
        <w:jc w:val="both"/>
        <w:rPr/>
      </w:pPr>
      <w:r>
        <w:t xml:space="preserve">- A pesquisa contínua é necessária para desenvolver novas técnicas e tecnologias.</w:t>
      </w:r>
      <w:r/>
    </w:p>
    <w:p>
      <w:pPr>
        <w:pBdr/>
        <w:spacing w:line="360" w:lineRule="auto"/>
        <w:ind/>
        <w:jc w:val="both"/>
        <w:rPr/>
      </w:pPr>
      <w:r/>
      <w:r/>
    </w:p>
    <w:p>
      <w:pPr>
        <w:pBdr/>
        <w:spacing w:line="360" w:lineRule="auto"/>
        <w:ind/>
        <w:jc w:val="both"/>
        <w:rPr>
          <w:b/>
        </w:rPr>
      </w:pPr>
      <w:r>
        <w:rPr>
          <w:b/>
        </w:rPr>
        <w:t xml:space="preserve">5.4 Perspectivas Futuras</w:t>
      </w:r>
      <w:r>
        <w:rPr>
          <w:b/>
        </w:rPr>
      </w:r>
    </w:p>
    <w:p>
      <w:pPr>
        <w:pBdr/>
        <w:spacing w:line="360" w:lineRule="auto"/>
        <w:ind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>
        <w:t xml:space="preserve">- O uso de inteligência artificial e aprendizado de máquina em endodontia.</w:t>
      </w:r>
      <w:r/>
    </w:p>
    <w:p>
      <w:pPr>
        <w:pBdr/>
        <w:spacing w:line="360" w:lineRule="auto"/>
        <w:ind/>
        <w:jc w:val="both"/>
        <w:rPr/>
      </w:pPr>
      <w:r>
        <w:t xml:space="preserve">- O desenvolvimento de novos materiais biocompatíveis.</w:t>
      </w:r>
      <w:r/>
    </w:p>
    <w:p>
      <w:pPr>
        <w:pBdr/>
        <w:spacing w:line="360" w:lineRule="auto"/>
        <w:ind/>
        <w:jc w:val="both"/>
        <w:rPr/>
      </w:pPr>
      <w:r>
        <w:t xml:space="preserve">- A aplicação de tecnologias emergentes, como a impressão 3D, em endodontia.</w:t>
      </w:r>
      <w:r/>
    </w:p>
    <w:p>
      <w:pPr>
        <w:pBdr/>
        <w:spacing w:line="360" w:lineRule="auto"/>
        <w:ind/>
        <w:jc w:val="both"/>
        <w:rPr/>
      </w:pPr>
      <w:r/>
      <w:r/>
    </w:p>
    <w:p>
      <w:pPr>
        <w:pBdr/>
        <w:spacing w:line="360" w:lineRule="auto"/>
        <w:ind/>
        <w:jc w:val="both"/>
        <w:rPr/>
      </w:pPr>
      <w:r/>
      <w:r/>
    </w:p>
    <w:p>
      <w:pPr>
        <w:pStyle w:val="779"/>
        <w:pBdr/>
        <w:spacing/>
        <w:ind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spacing/>
        <w:ind/>
        <w:rPr/>
      </w:pPr>
      <w:r>
        <w:br w:type="page" w:clear="all"/>
      </w:r>
      <w:r/>
    </w:p>
    <w:p>
      <w:pPr>
        <w:pStyle w:val="779"/>
        <w:pBdr/>
        <w:spacing/>
        <w:ind/>
        <w:rPr>
          <w:sz w:val="24"/>
          <w:szCs w:val="24"/>
        </w:rPr>
      </w:pPr>
      <w:r/>
      <w:bookmarkStart w:id="19" w:name="_Toc193276953"/>
      <w:r>
        <w:rPr>
          <w:sz w:val="24"/>
          <w:szCs w:val="24"/>
        </w:rPr>
        <w:t xml:space="preserve">6 CONCLUSÃO</w:t>
      </w:r>
      <w:bookmarkEnd w:id="19"/>
      <w:r/>
      <w:r>
        <w:rPr>
          <w:sz w:val="24"/>
          <w:szCs w:val="24"/>
        </w:rPr>
      </w:r>
    </w:p>
    <w:p>
      <w:pPr>
        <w:pBdr/>
        <w:spacing/>
        <w:ind/>
        <w:rPr/>
      </w:pPr>
      <w:r/>
      <w:r/>
    </w:p>
    <w:p>
      <w:pPr>
        <w:pStyle w:val="779"/>
        <w:pBdr/>
        <w:spacing w:line="360" w:lineRule="auto"/>
        <w:ind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 xml:space="preserve">         </w:t>
      </w:r>
      <w:bookmarkStart w:id="20" w:name="_Toc193276954"/>
      <w:r>
        <w:rPr>
          <w:b w:val="0"/>
          <w:sz w:val="24"/>
          <w:szCs w:val="24"/>
        </w:rPr>
        <w:t xml:space="preserve">Os avanços recentes na endodontia têm revolucionado a prá</w:t>
      </w:r>
      <w:r>
        <w:rPr>
          <w:b w:val="0"/>
          <w:sz w:val="24"/>
          <w:szCs w:val="24"/>
        </w:rPr>
        <w:t xml:space="preserve">tica clínica, oferecendo tratamentos mais eficazes, seguros e confortáveis para os pacientes. As abordagens clínicas e tecnológicas apresentadas neste trabalho demonstram o compromisso da comunidade científica em melhorar a qualidade de vida dos pacientes.</w:t>
      </w:r>
      <w:r>
        <w:br w:type="page" w:clear="all"/>
      </w:r>
      <w:r>
        <w:rPr>
          <w:sz w:val="24"/>
          <w:szCs w:val="24"/>
        </w:rPr>
        <w:t xml:space="preserve">REFERÊNCIAS</w:t>
      </w:r>
      <w:bookmarkEnd w:id="20"/>
      <w:r/>
      <w:r>
        <w:rPr>
          <w:sz w:val="24"/>
          <w:szCs w:val="24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/>
      </w:pPr>
      <w:r>
        <w:t xml:space="preserve">AMERICAN ASSOCIATION OF ENDODONTISTS. </w:t>
      </w:r>
      <w:r>
        <w:rPr>
          <w:b/>
        </w:rPr>
        <w:t xml:space="preserve">Guia para a prática clínica em endodontia. </w:t>
      </w:r>
      <w:r>
        <w:t xml:space="preserve">1974.</w:t>
      </w:r>
      <w:r/>
    </w:p>
    <w:p>
      <w:pPr>
        <w:pBdr/>
        <w:spacing w:line="360" w:lineRule="auto"/>
        <w:ind/>
        <w:jc w:val="both"/>
        <w:rPr/>
      </w:pPr>
      <w:r/>
      <w:r/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t xml:space="preserve">CARR, G. B. </w:t>
      </w:r>
      <w:r>
        <w:rPr>
          <w:b/>
        </w:rPr>
        <w:t xml:space="preserve">Desafios e oportunidades para a endodontia no futuro</w:t>
      </w:r>
      <w:r>
        <w:t xml:space="preserve">. </w:t>
      </w:r>
      <w:r>
        <w:rPr>
          <w:lang w:val="en-US"/>
        </w:rPr>
        <w:t xml:space="preserve">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10, p. 1431-1438,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GROSSMAN, L. I. </w:t>
      </w:r>
      <w:r>
        <w:rPr>
          <w:b/>
          <w:lang w:val="en-US"/>
        </w:rPr>
        <w:t xml:space="preserve">Endodontia</w:t>
      </w:r>
      <w:r>
        <w:rPr>
          <w:b/>
          <w:lang w:val="en-US"/>
        </w:rPr>
        <w:t xml:space="preserve">: </w:t>
      </w:r>
      <w:r>
        <w:rPr>
          <w:b/>
          <w:lang w:val="en-US"/>
        </w:rPr>
        <w:t xml:space="preserve">passado</w:t>
      </w:r>
      <w:r>
        <w:rPr>
          <w:b/>
          <w:lang w:val="en-US"/>
        </w:rPr>
        <w:t xml:space="preserve">, </w:t>
      </w:r>
      <w:r>
        <w:rPr>
          <w:b/>
          <w:lang w:val="en-US"/>
        </w:rPr>
        <w:t xml:space="preserve">presente</w:t>
      </w:r>
      <w:r>
        <w:rPr>
          <w:b/>
          <w:lang w:val="en-US"/>
        </w:rPr>
        <w:t xml:space="preserve"> e </w:t>
      </w:r>
      <w:r>
        <w:rPr>
          <w:b/>
          <w:lang w:val="en-US"/>
        </w:rPr>
        <w:t xml:space="preserve">futuro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1, n. 1, p. 3-9, 1955.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GRANT, M. J.; BOOTH, A. </w:t>
      </w:r>
      <w:r>
        <w:rPr>
          <w:b/>
          <w:lang w:val="en-US"/>
        </w:rPr>
        <w:t xml:space="preserve">A typology of reviews: an analysis of 14 review types and associated methodologies</w:t>
      </w:r>
      <w:r>
        <w:rPr>
          <w:lang w:val="en-US"/>
        </w:rPr>
        <w:t xml:space="preserve">. Health Information &amp; Libraries Journal, v. 26, n. 2, p. 91-108, 2009.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GUTKNECHT, N. </w:t>
      </w:r>
      <w:r>
        <w:rPr>
          <w:b/>
          <w:lang w:val="en-US"/>
        </w:rPr>
        <w:t xml:space="preserve">Colaboração</w:t>
      </w:r>
      <w:r>
        <w:rPr>
          <w:b/>
          <w:lang w:val="en-US"/>
        </w:rPr>
        <w:t xml:space="preserve"> </w:t>
      </w:r>
      <w:r>
        <w:rPr>
          <w:b/>
          <w:lang w:val="en-US"/>
        </w:rPr>
        <w:t xml:space="preserve">interdisciplinar</w:t>
      </w:r>
      <w:r>
        <w:rPr>
          <w:b/>
          <w:lang w:val="en-US"/>
        </w:rPr>
        <w:t xml:space="preserve"> </w:t>
      </w:r>
      <w:r>
        <w:rPr>
          <w:b/>
          <w:lang w:val="en-US"/>
        </w:rPr>
        <w:t xml:space="preserve">em</w:t>
      </w:r>
      <w:r>
        <w:rPr>
          <w:b/>
          <w:lang w:val="en-US"/>
        </w:rPr>
        <w:t xml:space="preserve"> </w:t>
      </w:r>
      <w:r>
        <w:rPr>
          <w:b/>
          <w:lang w:val="en-US"/>
        </w:rPr>
        <w:t xml:space="preserve">endodontia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5, p. 751-758,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GUTKNECHT, N. </w:t>
      </w:r>
      <w:r>
        <w:rPr>
          <w:b/>
          <w:lang w:val="en-US"/>
        </w:rPr>
        <w:t xml:space="preserve">Microscopic </w:t>
      </w:r>
      <w:r>
        <w:rPr>
          <w:b/>
          <w:lang w:val="en-US"/>
        </w:rPr>
        <w:t xml:space="preserve">endodontics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43, n. 5, p. 751-758, 2017.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t xml:space="preserve">GUTKNECHT, N. </w:t>
      </w:r>
      <w:r>
        <w:rPr>
          <w:b/>
        </w:rPr>
        <w:t xml:space="preserve">Robótica em endodontia</w:t>
      </w:r>
      <w:r>
        <w:t xml:space="preserve">. </w:t>
      </w:r>
      <w:r>
        <w:rPr>
          <w:lang w:val="en-US"/>
        </w:rPr>
        <w:t xml:space="preserve">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5, p. 751-758,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t xml:space="preserve">INGLE, J. I. </w:t>
      </w:r>
      <w:r>
        <w:rPr>
          <w:b/>
        </w:rPr>
        <w:t xml:space="preserve">Endodontia: princípios e práticas</w:t>
      </w:r>
      <w:r>
        <w:t xml:space="preserve">. </w:t>
      </w:r>
      <w:r>
        <w:rPr>
          <w:lang w:val="en-US"/>
        </w:rPr>
        <w:t xml:space="preserve">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11, n. 2, p. 53-63, 1965.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KIM, S. </w:t>
      </w:r>
      <w:r>
        <w:rPr>
          <w:b/>
          <w:lang w:val="en-US"/>
        </w:rPr>
        <w:t xml:space="preserve">Artificial intelligence in </w:t>
      </w:r>
      <w:r>
        <w:rPr>
          <w:b/>
          <w:lang w:val="en-US"/>
        </w:rPr>
        <w:t xml:space="preserve">endodontics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10, p. 1431-1438,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KIM, S. </w:t>
      </w:r>
      <w:r>
        <w:rPr>
          <w:b/>
          <w:lang w:val="en-US"/>
        </w:rPr>
        <w:t xml:space="preserve">Biocompatible materials in </w:t>
      </w:r>
      <w:r>
        <w:rPr>
          <w:b/>
          <w:lang w:val="en-US"/>
        </w:rPr>
        <w:t xml:space="preserve">endodontics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45, n. 10, p. 1911-1918, 2019.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t xml:space="preserve">KISHEN, A. </w:t>
      </w:r>
      <w:r>
        <w:rPr>
          <w:b/>
        </w:rPr>
        <w:t xml:space="preserve">Automatização em endodontia</w:t>
      </w:r>
      <w:r>
        <w:t xml:space="preserve">. </w:t>
      </w:r>
      <w:r>
        <w:rPr>
          <w:lang w:val="en-US"/>
        </w:rPr>
        <w:t xml:space="preserve">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10, p. 1431-1438,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KISHEN, A. </w:t>
      </w:r>
      <w:r>
        <w:rPr>
          <w:b/>
          <w:lang w:val="en-US"/>
        </w:rPr>
        <w:t xml:space="preserve">Clinical outcomes of microscopic </w:t>
      </w:r>
      <w:r>
        <w:rPr>
          <w:b/>
          <w:lang w:val="en-US"/>
        </w:rPr>
        <w:t xml:space="preserve">endodontics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10, p. 1431-1438,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PATEL, S. </w:t>
      </w:r>
      <w:r>
        <w:rPr>
          <w:b/>
          <w:lang w:val="en-US"/>
        </w:rPr>
        <w:t xml:space="preserve">3D printing in </w:t>
      </w:r>
      <w:r>
        <w:rPr>
          <w:b/>
          <w:lang w:val="en-US"/>
        </w:rPr>
        <w:t xml:space="preserve">endodontics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46, n. 5, p. 831-838, 2020.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PETERS, O. A. </w:t>
      </w:r>
      <w:r>
        <w:rPr>
          <w:b/>
          <w:lang w:val="en-US"/>
        </w:rPr>
        <w:t xml:space="preserve">Minimally invasive </w:t>
      </w:r>
      <w:r>
        <w:rPr>
          <w:b/>
          <w:lang w:val="en-US"/>
        </w:rPr>
        <w:t xml:space="preserve">endodontics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41, n. 10, p. 1519-1526, 2015.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  <w:t xml:space="preserve">SCHWARTZ, R. S. </w:t>
      </w:r>
      <w:r>
        <w:rPr>
          <w:b/>
          <w:lang w:val="en-US"/>
        </w:rPr>
        <w:t xml:space="preserve">Materials for </w:t>
      </w:r>
      <w:r>
        <w:rPr>
          <w:b/>
          <w:lang w:val="en-US"/>
        </w:rPr>
        <w:t xml:space="preserve">obturation</w:t>
      </w:r>
      <w:r>
        <w:rPr>
          <w:lang w:val="en-US"/>
        </w:rPr>
        <w:t xml:space="preserve">. Journal of </w:t>
      </w:r>
      <w:r>
        <w:rPr>
          <w:lang w:val="en-US"/>
        </w:rPr>
        <w:t xml:space="preserve">Endodontics</w:t>
      </w:r>
      <w:r>
        <w:rPr>
          <w:lang w:val="en-US"/>
        </w:rPr>
        <w:t xml:space="preserve">, v. 43, n. 10, p. 1631-1638, 2017.</w:t>
      </w:r>
      <w:r>
        <w:rPr>
          <w:lang w:val="en-US"/>
        </w:rPr>
      </w:r>
    </w:p>
    <w:p>
      <w:pPr>
        <w:pBdr/>
        <w:spacing w:line="360" w:lineRule="auto"/>
        <w:ind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13"/>
        <w:numPr>
          <w:ilvl w:val="0"/>
          <w:numId w:val="3"/>
        </w:numPr>
        <w:pBdr/>
        <w:spacing w:line="360" w:lineRule="auto"/>
        <w:ind/>
        <w:jc w:val="both"/>
        <w:rPr/>
      </w:pPr>
      <w:r>
        <w:t xml:space="preserve">ZINA, L. G.; MOIMAZ, S. A. S. </w:t>
      </w:r>
      <w:r>
        <w:rPr>
          <w:b/>
        </w:rPr>
        <w:t xml:space="preserve">Odontologia baseada em evidência: etapas e métodos de uma revisão sistemática</w:t>
      </w:r>
      <w:r>
        <w:t xml:space="preserve">. Arquivos de Odontologia, v. 48, n. 3, p. 188-199, 2012.</w:t>
      </w:r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p>
      <w:pPr>
        <w:pBdr/>
        <w:spacing w:line="360" w:lineRule="auto"/>
        <w:ind/>
        <w:jc w:val="center"/>
        <w:rPr/>
      </w:pPr>
      <w:r/>
      <w:r/>
    </w:p>
    <w:sectPr>
      <w:footnotePr/>
      <w:endnotePr/>
      <w:type w:val="nextPage"/>
      <w:pgSz w:h="16838" w:orient="portrait" w:w="11906"/>
      <w:pgMar w:top="1701" w:right="1134" w:bottom="1134" w:left="1701" w:header="709" w:footer="709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-BoldMT">
    <w:panose1 w:val="020B0604020202020204"/>
  </w:font>
  <w:font w:name="Segoe UI">
    <w:panose1 w:val="020B05020405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0"/>
      <w:pBdr/>
      <w:spacing/>
      <w:ind/>
      <w:jc w:val="right"/>
      <w:rPr/>
    </w:pPr>
    <w:r/>
    <w:r/>
  </w:p>
  <w:p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center" w:leader="none" w:pos="4252"/>
        <w:tab w:val="right" w:leader="none" w:pos="8504"/>
      </w:tabs>
      <w:spacing/>
      <w:ind w:right="360"/>
      <w:rPr>
        <w:color w:val="000000"/>
      </w:rPr>
    </w:pPr>
    <w:r>
      <w:rPr>
        <w:color w:val="000000"/>
      </w:rPr>
    </w:r>
    <w:r>
      <w:rPr>
        <w:color w:val="000000"/>
      </w:rPr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center" w:leader="none" w:pos="4252"/>
        <w:tab w:val="right" w:leader="none" w:pos="8504"/>
      </w:tabs>
      <w:spacing/>
      <w:ind/>
      <w:jc w:val="right"/>
      <w:rPr>
        <w:color w:val="000000"/>
      </w:rPr>
    </w:pPr>
    <w:r>
      <w:rPr>
        <w:color w:val="000000"/>
      </w:rPr>
    </w:r>
    <w:r>
      <w:rPr>
        <w:color w:val="000000"/>
      </w:rPr>
    </w:r>
  </w:p>
  <w:p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center" w:leader="none" w:pos="4252"/>
        <w:tab w:val="right" w:leader="none" w:pos="8504"/>
      </w:tabs>
      <w:spacing/>
      <w:ind w:right="360"/>
      <w:rPr>
        <w:color w:val="000000"/>
      </w:rPr>
    </w:pPr>
    <w:r>
      <w:rPr>
        <w:color w:val="000000"/>
      </w:rPr>
    </w:r>
    <w:r>
      <w:rPr>
        <w:color w:val="000000"/>
      </w:rPr>
    </w:r>
  </w:p>
  <w:p>
    <w:pPr>
      <w:widowControl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pacing w:line="276" w:lineRule="auto"/>
      <w:ind/>
      <w:rPr>
        <w:color w:val="000000"/>
      </w:rPr>
    </w:pPr>
    <w:r>
      <w:rPr>
        <w:color w:val="000000"/>
      </w:rPr>
    </w:r>
    <w:r>
      <w:rPr>
        <w:color w:val="000000"/>
      </w:rPr>
    </w:r>
  </w:p>
  <w:p>
    <w:pPr>
      <w:widowControl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pacing w:line="276" w:lineRule="auto"/>
      <w:ind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end"/>
    </w:r>
    <w:r>
      <w:rPr>
        <w:color w:val="000000"/>
      </w:rPr>
    </w:r>
  </w:p>
  <w:p>
    <w:pPr>
      <w:widowControl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pacing w:line="276" w:lineRule="auto"/>
      <w:ind/>
      <w:rPr>
        <w:color w:val="000000"/>
      </w:rPr>
    </w:pPr>
    <w:r>
      <w:rPr>
        <w:color w:val="000000"/>
      </w:rPr>
    </w:r>
    <w:r>
      <w:rPr>
        <w:color w:val="000000"/>
      </w:rPr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234014931"/>
      <w:docPartObj>
        <w:docPartGallery w:val="Page Numbers (Top of Page)"/>
        <w:docPartUnique w:val="true"/>
      </w:docPartObj>
      <w:rPr/>
    </w:sdtPr>
    <w:sdtContent>
      <w:p>
        <w:pPr>
          <w:pStyle w:val="810"/>
          <w:pBdr/>
          <w:spacing/>
          <w:ind/>
          <w:jc w:val="right"/>
          <w:rPr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18</w:t>
        </w:r>
        <w:r>
          <w:fldChar w:fldCharType="end"/>
        </w:r>
        <w:r/>
      </w:p>
    </w:sdtContent>
  </w:sdt>
  <w:p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center" w:leader="none" w:pos="4252"/>
        <w:tab w:val="right" w:leader="none" w:pos="8504"/>
      </w:tabs>
      <w:spacing/>
      <w:ind w:right="360"/>
      <w:rPr>
        <w:color w:val="000000"/>
      </w:rPr>
    </w:pPr>
    <w:r>
      <w:rPr>
        <w:color w:val="000000"/>
      </w:rPr>
    </w:r>
    <w:r>
      <w:rPr>
        <w:color w:val="000000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1829D0"/>
    <w:lvl w:ilvl="0">
      <w:isLgl w:val="false"/>
      <w:lvlJc w:val="left"/>
      <w:lvlText w:val="%1."/>
      <w:numFmt w:val="decimal"/>
      <w:pPr>
        <w:pBdr/>
        <w:spacing/>
        <w:ind w:hanging="360" w:left="643"/>
      </w:pPr>
      <w:rPr>
        <w:b w:val="0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nsid w:val="56FB2035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">
    <w:nsid w:val="5ECE5F1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  <w:lang w:val="pt-BR" w:eastAsia="pt-BR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5">
    <w:name w:val="Heading 7"/>
    <w:basedOn w:val="778"/>
    <w:next w:val="778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78"/>
    <w:next w:val="778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78"/>
    <w:next w:val="778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85"/>
    <w:link w:val="77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85"/>
    <w:link w:val="78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85"/>
    <w:link w:val="78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85"/>
    <w:link w:val="78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85"/>
    <w:link w:val="78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85"/>
    <w:link w:val="78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85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85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85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85"/>
    <w:link w:val="78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85"/>
    <w:link w:val="793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78"/>
    <w:next w:val="778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85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85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78"/>
    <w:next w:val="778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85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85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78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85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3">
    <w:name w:val="Strong"/>
    <w:basedOn w:val="785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85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85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80">
    <w:name w:val="Caption"/>
    <w:basedOn w:val="778"/>
    <w:next w:val="77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78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85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85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78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85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85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85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0">
    <w:name w:val="toc 2"/>
    <w:basedOn w:val="778"/>
    <w:next w:val="778"/>
    <w:uiPriority w:val="39"/>
    <w:unhideWhenUsed/>
    <w:pPr>
      <w:pBdr/>
      <w:spacing w:after="100"/>
      <w:ind w:left="220"/>
    </w:pPr>
  </w:style>
  <w:style w:type="paragraph" w:styleId="191">
    <w:name w:val="toc 3"/>
    <w:basedOn w:val="778"/>
    <w:next w:val="778"/>
    <w:uiPriority w:val="39"/>
    <w:unhideWhenUsed/>
    <w:pPr>
      <w:pBdr/>
      <w:spacing w:after="100"/>
      <w:ind w:left="440"/>
    </w:pPr>
  </w:style>
  <w:style w:type="paragraph" w:styleId="193">
    <w:name w:val="toc 5"/>
    <w:basedOn w:val="778"/>
    <w:next w:val="778"/>
    <w:uiPriority w:val="39"/>
    <w:unhideWhenUsed/>
    <w:pPr>
      <w:pBdr/>
      <w:spacing w:after="100"/>
      <w:ind w:left="880"/>
    </w:pPr>
  </w:style>
  <w:style w:type="paragraph" w:styleId="194">
    <w:name w:val="toc 6"/>
    <w:basedOn w:val="778"/>
    <w:next w:val="778"/>
    <w:uiPriority w:val="39"/>
    <w:unhideWhenUsed/>
    <w:pPr>
      <w:pBdr/>
      <w:spacing w:after="100"/>
      <w:ind w:left="1100"/>
    </w:pPr>
  </w:style>
  <w:style w:type="paragraph" w:styleId="195">
    <w:name w:val="toc 7"/>
    <w:basedOn w:val="778"/>
    <w:next w:val="778"/>
    <w:uiPriority w:val="39"/>
    <w:unhideWhenUsed/>
    <w:pPr>
      <w:pBdr/>
      <w:spacing w:after="100"/>
      <w:ind w:left="1320"/>
    </w:pPr>
  </w:style>
  <w:style w:type="paragraph" w:styleId="196">
    <w:name w:val="toc 8"/>
    <w:basedOn w:val="778"/>
    <w:next w:val="778"/>
    <w:uiPriority w:val="39"/>
    <w:unhideWhenUsed/>
    <w:pPr>
      <w:pBdr/>
      <w:spacing w:after="100"/>
      <w:ind w:left="1540"/>
    </w:pPr>
  </w:style>
  <w:style w:type="paragraph" w:styleId="197">
    <w:name w:val="toc 9"/>
    <w:basedOn w:val="778"/>
    <w:next w:val="778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85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78"/>
    <w:next w:val="778"/>
    <w:uiPriority w:val="99"/>
    <w:unhideWhenUsed/>
    <w:pPr>
      <w:pBdr/>
      <w:spacing w:after="0" w:afterAutospacing="0"/>
      <w:ind/>
    </w:pPr>
  </w:style>
  <w:style w:type="paragraph" w:styleId="778" w:default="1">
    <w:name w:val="Normal"/>
    <w:qFormat/>
    <w:pPr>
      <w:pBdr/>
      <w:spacing/>
      <w:ind/>
    </w:pPr>
  </w:style>
  <w:style w:type="paragraph" w:styleId="779">
    <w:name w:val="Heading 1"/>
    <w:basedOn w:val="778"/>
    <w:next w:val="778"/>
    <w:uiPriority w:val="9"/>
    <w:qFormat/>
    <w:pPr>
      <w:keepNext w:val="true"/>
      <w:keepLines w:val="true"/>
      <w:pBdr/>
      <w:spacing w:after="120" w:before="480"/>
      <w:ind/>
      <w:outlineLvl w:val="0"/>
    </w:pPr>
    <w:rPr>
      <w:b/>
      <w:sz w:val="48"/>
      <w:szCs w:val="48"/>
    </w:rPr>
  </w:style>
  <w:style w:type="paragraph" w:styleId="780">
    <w:name w:val="Heading 2"/>
    <w:basedOn w:val="778"/>
    <w:next w:val="778"/>
    <w:uiPriority w:val="9"/>
    <w:unhideWhenUsed/>
    <w:qFormat/>
    <w:pPr>
      <w:keepNext w:val="true"/>
      <w:keepLines w:val="true"/>
      <w:pBdr/>
      <w:spacing w:after="80" w:before="360"/>
      <w:ind/>
      <w:outlineLvl w:val="1"/>
    </w:pPr>
    <w:rPr>
      <w:b/>
      <w:sz w:val="36"/>
      <w:szCs w:val="36"/>
    </w:rPr>
  </w:style>
  <w:style w:type="paragraph" w:styleId="781">
    <w:name w:val="Heading 3"/>
    <w:basedOn w:val="778"/>
    <w:next w:val="778"/>
    <w:uiPriority w:val="9"/>
    <w:unhideWhenUsed/>
    <w:qFormat/>
    <w:pPr>
      <w:keepNext w:val="true"/>
      <w:keepLines w:val="true"/>
      <w:pBdr/>
      <w:spacing w:after="80" w:before="280"/>
      <w:ind/>
      <w:outlineLvl w:val="2"/>
    </w:pPr>
    <w:rPr>
      <w:b/>
      <w:sz w:val="28"/>
      <w:szCs w:val="28"/>
    </w:rPr>
  </w:style>
  <w:style w:type="paragraph" w:styleId="782">
    <w:name w:val="Heading 4"/>
    <w:basedOn w:val="778"/>
    <w:next w:val="778"/>
    <w:uiPriority w:val="9"/>
    <w:unhideWhenUsed/>
    <w:qFormat/>
    <w:pPr>
      <w:keepNext w:val="true"/>
      <w:keepLines w:val="true"/>
      <w:pBdr/>
      <w:spacing w:after="40" w:before="240"/>
      <w:ind/>
      <w:outlineLvl w:val="3"/>
    </w:pPr>
    <w:rPr>
      <w:b/>
    </w:rPr>
  </w:style>
  <w:style w:type="paragraph" w:styleId="783">
    <w:name w:val="Heading 5"/>
    <w:basedOn w:val="778"/>
    <w:next w:val="778"/>
    <w:uiPriority w:val="9"/>
    <w:semiHidden/>
    <w:unhideWhenUsed/>
    <w:qFormat/>
    <w:pPr>
      <w:keepNext w:val="true"/>
      <w:keepLines w:val="true"/>
      <w:pBdr/>
      <w:spacing w:after="40" w:before="220"/>
      <w:ind/>
      <w:outlineLvl w:val="4"/>
    </w:pPr>
    <w:rPr>
      <w:b/>
      <w:sz w:val="22"/>
      <w:szCs w:val="22"/>
    </w:rPr>
  </w:style>
  <w:style w:type="paragraph" w:styleId="784">
    <w:name w:val="Heading 6"/>
    <w:basedOn w:val="778"/>
    <w:next w:val="778"/>
    <w:uiPriority w:val="9"/>
    <w:semiHidden/>
    <w:unhideWhenUsed/>
    <w:qFormat/>
    <w:pPr>
      <w:keepNext w:val="true"/>
      <w:keepLines w:val="true"/>
      <w:pBdr/>
      <w:spacing w:after="40" w:before="200"/>
      <w:ind/>
      <w:outlineLvl w:val="5"/>
    </w:pPr>
    <w:rPr>
      <w:b/>
      <w:sz w:val="20"/>
      <w:szCs w:val="20"/>
    </w:rPr>
  </w:style>
  <w:style w:type="character" w:styleId="785" w:default="1">
    <w:name w:val="Default Paragraph Font"/>
    <w:uiPriority w:val="1"/>
    <w:semiHidden/>
    <w:unhideWhenUsed/>
    <w:pPr>
      <w:pBdr/>
      <w:spacing/>
      <w:ind/>
    </w:pPr>
  </w:style>
  <w:style w:type="table" w:styleId="786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87" w:default="1">
    <w:name w:val="No List"/>
    <w:uiPriority w:val="99"/>
    <w:semiHidden/>
    <w:unhideWhenUsed/>
    <w:pPr>
      <w:pBdr/>
      <w:spacing/>
      <w:ind/>
    </w:pPr>
  </w:style>
  <w:style w:type="table" w:styleId="788" w:customStyle="1">
    <w:name w:val="Table Normal1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89">
    <w:name w:val="Title"/>
    <w:basedOn w:val="778"/>
    <w:next w:val="778"/>
    <w:uiPriority w:val="10"/>
    <w:qFormat/>
    <w:pPr>
      <w:keepNext w:val="true"/>
      <w:keepLines w:val="true"/>
      <w:pBdr/>
      <w:spacing w:after="120" w:before="480"/>
      <w:ind/>
    </w:pPr>
    <w:rPr>
      <w:b/>
      <w:sz w:val="48"/>
      <w:szCs w:val="48"/>
    </w:rPr>
  </w:style>
  <w:style w:type="table" w:styleId="790" w:customStyle="1">
    <w:name w:val="Table Normal2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 w:customStyle="1">
    <w:name w:val="Table Normal3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 w:customStyle="1">
    <w:name w:val="Table Normal4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3">
    <w:name w:val="Subtitle"/>
    <w:basedOn w:val="778"/>
    <w:next w:val="778"/>
    <w:uiPriority w:val="11"/>
    <w:qFormat/>
    <w:pPr>
      <w:keepNext w:val="true"/>
      <w:keepLines w:val="true"/>
      <w:pBdr/>
      <w:spacing w:line="360" w:lineRule="auto"/>
      <w:ind/>
    </w:pPr>
    <w:rPr>
      <w:b/>
    </w:rPr>
  </w:style>
  <w:style w:type="table" w:styleId="794" w:customStyle="1">
    <w:name w:val="StGen0"/>
    <w:basedOn w:val="792"/>
    <w:pPr>
      <w:pBdr/>
      <w:spacing/>
      <w:ind/>
    </w:p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5">
    <w:name w:val="annotation text"/>
    <w:basedOn w:val="778"/>
    <w:link w:val="796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796" w:customStyle="1">
    <w:name w:val="Comment Text Char"/>
    <w:basedOn w:val="785"/>
    <w:link w:val="795"/>
    <w:uiPriority w:val="99"/>
    <w:semiHidden/>
    <w:pPr>
      <w:pBdr/>
      <w:spacing/>
      <w:ind/>
    </w:pPr>
    <w:rPr>
      <w:sz w:val="20"/>
      <w:szCs w:val="20"/>
    </w:rPr>
  </w:style>
  <w:style w:type="character" w:styleId="797">
    <w:name w:val="annotation reference"/>
    <w:basedOn w:val="785"/>
    <w:uiPriority w:val="99"/>
    <w:semiHidden/>
    <w:unhideWhenUsed/>
    <w:pPr>
      <w:pBdr/>
      <w:spacing/>
      <w:ind/>
    </w:pPr>
    <w:rPr>
      <w:sz w:val="16"/>
      <w:szCs w:val="16"/>
    </w:rPr>
  </w:style>
  <w:style w:type="paragraph" w:styleId="798">
    <w:name w:val="Balloon Text"/>
    <w:basedOn w:val="778"/>
    <w:link w:val="799"/>
    <w:uiPriority w:val="99"/>
    <w:semiHidden/>
    <w:unhideWhenUsed/>
    <w:pPr>
      <w:pBdr/>
      <w:spacing/>
      <w:ind/>
    </w:pPr>
    <w:rPr>
      <w:rFonts w:ascii="Segoe UI" w:hAnsi="Segoe UI" w:cs="Segoe UI"/>
      <w:sz w:val="18"/>
      <w:szCs w:val="18"/>
    </w:rPr>
  </w:style>
  <w:style w:type="character" w:styleId="799" w:customStyle="1">
    <w:name w:val="Balloon Text Char"/>
    <w:basedOn w:val="785"/>
    <w:link w:val="798"/>
    <w:uiPriority w:val="99"/>
    <w:semiHidden/>
    <w:pPr>
      <w:pBdr/>
      <w:spacing/>
      <w:ind/>
    </w:pPr>
    <w:rPr>
      <w:rFonts w:ascii="Segoe UI" w:hAnsi="Segoe UI" w:cs="Segoe UI"/>
      <w:sz w:val="18"/>
      <w:szCs w:val="18"/>
    </w:rPr>
  </w:style>
  <w:style w:type="paragraph" w:styleId="800">
    <w:name w:val="toc 1"/>
    <w:basedOn w:val="778"/>
    <w:next w:val="778"/>
    <w:uiPriority w:val="39"/>
    <w:unhideWhenUsed/>
    <w:pPr>
      <w:pBdr/>
      <w:spacing w:after="100"/>
      <w:ind/>
    </w:pPr>
  </w:style>
  <w:style w:type="paragraph" w:styleId="801">
    <w:name w:val="toc 4"/>
    <w:basedOn w:val="778"/>
    <w:next w:val="778"/>
    <w:uiPriority w:val="39"/>
    <w:unhideWhenUsed/>
    <w:pPr>
      <w:pBdr/>
      <w:spacing w:after="100"/>
      <w:ind w:left="720"/>
    </w:pPr>
  </w:style>
  <w:style w:type="character" w:styleId="802">
    <w:name w:val="Hyperlink"/>
    <w:basedOn w:val="785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03">
    <w:name w:val="annotation subject"/>
    <w:basedOn w:val="795"/>
    <w:next w:val="795"/>
    <w:link w:val="804"/>
    <w:uiPriority w:val="99"/>
    <w:semiHidden/>
    <w:unhideWhenUsed/>
    <w:pPr>
      <w:pBdr/>
      <w:spacing/>
      <w:ind/>
    </w:pPr>
    <w:rPr>
      <w:b/>
      <w:bCs/>
    </w:rPr>
  </w:style>
  <w:style w:type="character" w:styleId="804" w:customStyle="1">
    <w:name w:val="Comment Subject Char"/>
    <w:basedOn w:val="796"/>
    <w:link w:val="803"/>
    <w:uiPriority w:val="99"/>
    <w:semiHidden/>
    <w:pPr>
      <w:pBdr/>
      <w:spacing/>
      <w:ind/>
    </w:pPr>
    <w:rPr>
      <w:b/>
      <w:bCs/>
      <w:sz w:val="20"/>
      <w:szCs w:val="20"/>
    </w:rPr>
  </w:style>
  <w:style w:type="table" w:styleId="805">
    <w:name w:val="Table Grid"/>
    <w:basedOn w:val="786"/>
    <w:uiPriority w:val="39"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 w:customStyle="1">
    <w:name w:val="StGen1"/>
    <w:basedOn w:val="792"/>
    <w:pPr>
      <w:pBdr/>
      <w:spacing/>
      <w:ind/>
    </w:p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 w:customStyle="1">
    <w:name w:val="StGen2"/>
    <w:basedOn w:val="792"/>
    <w:pPr>
      <w:pBdr/>
      <w:spacing/>
      <w:ind/>
    </w:p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8">
    <w:name w:val="Footer"/>
    <w:basedOn w:val="778"/>
    <w:link w:val="809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character" w:styleId="809" w:customStyle="1">
    <w:name w:val="Footer Char"/>
    <w:basedOn w:val="785"/>
    <w:link w:val="808"/>
    <w:uiPriority w:val="99"/>
    <w:pPr>
      <w:pBdr/>
      <w:spacing/>
      <w:ind/>
    </w:pPr>
  </w:style>
  <w:style w:type="paragraph" w:styleId="810">
    <w:name w:val="Header"/>
    <w:basedOn w:val="778"/>
    <w:link w:val="811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character" w:styleId="811" w:customStyle="1">
    <w:name w:val="Header Char"/>
    <w:basedOn w:val="785"/>
    <w:link w:val="810"/>
    <w:uiPriority w:val="99"/>
    <w:pPr>
      <w:pBdr/>
      <w:spacing/>
      <w:ind/>
    </w:pPr>
  </w:style>
  <w:style w:type="character" w:styleId="812" w:customStyle="1">
    <w:name w:val="Unresolved Mention"/>
    <w:basedOn w:val="785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paragraph" w:styleId="813">
    <w:name w:val="List Paragraph"/>
    <w:basedOn w:val="778"/>
    <w:uiPriority w:val="34"/>
    <w:qFormat/>
    <w:pPr>
      <w:pBdr/>
      <w:spacing/>
      <w:ind w:left="720"/>
      <w:contextualSpacing w:val="true"/>
    </w:pPr>
  </w:style>
  <w:style w:type="paragraph" w:styleId="814">
    <w:name w:val="Normal (Web)"/>
    <w:basedOn w:val="778"/>
    <w:uiPriority w:val="99"/>
    <w:semiHidden/>
    <w:unhideWhenUsed/>
    <w:pPr>
      <w:pBdr/>
      <w:spacing w:after="100" w:afterAutospacing="1" w:before="100" w:beforeAutospacing="1"/>
      <w:ind/>
    </w:pPr>
  </w:style>
  <w:style w:type="character" w:styleId="815" w:customStyle="1">
    <w:name w:val="fontstyle01"/>
    <w:basedOn w:val="785"/>
    <w:pPr>
      <w:pBdr/>
      <w:spacing/>
      <w:ind/>
    </w:pPr>
    <w:rPr>
      <w:rFonts w:hint="default" w:ascii="Arial-BoldMT" w:hAnsi="Arial-BoldMT"/>
      <w:b/>
      <w:bCs/>
      <w:i w:val="0"/>
      <w:iCs w:val="0"/>
      <w:color w:val="000000"/>
      <w:sz w:val="16"/>
      <w:szCs w:val="16"/>
    </w:rPr>
  </w:style>
  <w:style w:type="table" w:styleId="816" w:customStyle="1">
    <w:name w:val="StGen3"/>
    <w:basedOn w:val="791"/>
    <w:pPr>
      <w:pBdr/>
      <w:spacing/>
      <w:ind/>
    </w:p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 w:customStyle="1">
    <w:name w:val="StGen4"/>
    <w:basedOn w:val="790"/>
    <w:pPr>
      <w:pBdr/>
      <w:spacing/>
      <w:ind/>
    </w:p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18">
    <w:name w:val="Emphasis"/>
    <w:basedOn w:val="785"/>
    <w:uiPriority w:val="20"/>
    <w:qFormat/>
    <w:pPr>
      <w:pBdr/>
      <w:spacing/>
      <w:ind/>
    </w:pPr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customXml" Target="../customXml/item1.xml" /><Relationship Id="rId13" Type="http://schemas.openxmlformats.org/officeDocument/2006/relationships/image" Target="media/image1.png"/><Relationship Id="rId14" Type="http://schemas.openxmlformats.org/officeDocument/2006/relationships/hyperlink" Target="https://www.sciencedirect.com/topics/medicine-and-dentistry/indocyanine-green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b8X+gzHNVbt+H9eA3Q85tpcILw==">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ONLYOFFICE/9.1.0.167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Simpson</dc:creator>
  <cp:lastModifiedBy>Christiane Pereira</cp:lastModifiedBy>
  <cp:revision>16</cp:revision>
  <dcterms:created xsi:type="dcterms:W3CDTF">2021-05-14T12:54:00Z</dcterms:created>
  <dcterms:modified xsi:type="dcterms:W3CDTF">2025-11-11T15:48:51Z</dcterms:modified>
</cp:coreProperties>
</file>